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eastAsia="黑体"/>
          <w:kern w:val="2"/>
          <w:sz w:val="32"/>
          <w:szCs w:val="32"/>
        </w:rPr>
      </w:pPr>
      <w:r>
        <w:rPr>
          <w:rFonts w:eastAsia="黑体"/>
          <w:kern w:val="2"/>
          <w:sz w:val="32"/>
          <w:szCs w:val="32"/>
        </w:rPr>
        <w:t>附件1：</w:t>
      </w:r>
    </w:p>
    <w:p>
      <w:pPr>
        <w:spacing w:line="7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招聘岗位及任职要求</w:t>
      </w:r>
    </w:p>
    <w:tbl>
      <w:tblPr>
        <w:tblStyle w:val="3"/>
        <w:tblW w:w="14361" w:type="dxa"/>
        <w:tblInd w:w="93" w:type="dxa"/>
        <w:tblLayout w:type="autofit"/>
        <w:tblCellMar>
          <w:top w:w="0" w:type="dxa"/>
          <w:left w:w="108" w:type="dxa"/>
          <w:bottom w:w="0" w:type="dxa"/>
          <w:right w:w="108" w:type="dxa"/>
        </w:tblCellMar>
      </w:tblPr>
      <w:tblGrid>
        <w:gridCol w:w="1745"/>
        <w:gridCol w:w="1134"/>
        <w:gridCol w:w="1701"/>
        <w:gridCol w:w="1701"/>
        <w:gridCol w:w="8080"/>
      </w:tblGrid>
      <w:tr>
        <w:tblPrEx>
          <w:tblCellMar>
            <w:top w:w="0" w:type="dxa"/>
            <w:left w:w="108" w:type="dxa"/>
            <w:bottom w:w="0" w:type="dxa"/>
            <w:right w:w="108" w:type="dxa"/>
          </w:tblCellMar>
        </w:tblPrEx>
        <w:trPr>
          <w:trHeight w:val="660"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拟招聘岗位</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人数</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学历</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任职要求</w:t>
            </w:r>
          </w:p>
        </w:tc>
      </w:tr>
      <w:tr>
        <w:tblPrEx>
          <w:tblCellMar>
            <w:top w:w="0" w:type="dxa"/>
            <w:left w:w="108" w:type="dxa"/>
            <w:bottom w:w="0" w:type="dxa"/>
            <w:right w:w="108" w:type="dxa"/>
          </w:tblCellMar>
        </w:tblPrEx>
        <w:trPr>
          <w:trHeight w:val="3160"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副总经理</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（业务）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1人</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本科及以上（双证）</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金融、保险或经济等相关专业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left"/>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1.45</w:t>
            </w:r>
            <w:r>
              <w:rPr>
                <w:rFonts w:hint="eastAsia" w:ascii="Times New Roman" w:hAnsi="Times New Roman" w:eastAsia="仿宋_GB2312" w:cs="Times New Roman"/>
                <w:color w:val="000000"/>
                <w:kern w:val="0"/>
                <w:sz w:val="28"/>
                <w:lang w:bidi="ar"/>
              </w:rPr>
              <w:t>周岁以下（1</w:t>
            </w:r>
            <w:r>
              <w:rPr>
                <w:rFonts w:ascii="Times New Roman" w:hAnsi="Times New Roman" w:eastAsia="仿宋_GB2312" w:cs="Times New Roman"/>
                <w:color w:val="000000"/>
                <w:kern w:val="0"/>
                <w:sz w:val="28"/>
                <w:lang w:bidi="ar"/>
              </w:rPr>
              <w:t>978</w:t>
            </w:r>
            <w:r>
              <w:rPr>
                <w:rFonts w:hint="eastAsia" w:ascii="Times New Roman" w:hAnsi="Times New Roman" w:eastAsia="仿宋_GB2312" w:cs="Times New Roman"/>
                <w:color w:val="000000"/>
                <w:kern w:val="0"/>
                <w:sz w:val="28"/>
                <w:lang w:bidi="ar"/>
              </w:rPr>
              <w:t>年9月3</w:t>
            </w:r>
            <w:r>
              <w:rPr>
                <w:rFonts w:ascii="Times New Roman" w:hAnsi="Times New Roman" w:eastAsia="仿宋_GB2312" w:cs="Times New Roman"/>
                <w:color w:val="000000"/>
                <w:kern w:val="0"/>
                <w:sz w:val="28"/>
                <w:lang w:bidi="ar"/>
              </w:rPr>
              <w:t>0</w:t>
            </w:r>
            <w:r>
              <w:rPr>
                <w:rFonts w:hint="eastAsia" w:ascii="Times New Roman" w:hAnsi="Times New Roman" w:eastAsia="仿宋_GB2312" w:cs="Times New Roman"/>
                <w:color w:val="000000"/>
                <w:kern w:val="0"/>
                <w:sz w:val="28"/>
                <w:lang w:bidi="ar"/>
              </w:rPr>
              <w:t>日后出生），本科及以上学历，学士及以上学位</w:t>
            </w:r>
            <w:r>
              <w:rPr>
                <w:rFonts w:ascii="Times New Roman" w:hAnsi="Times New Roman" w:eastAsia="仿宋_GB2312" w:cs="Times New Roman"/>
                <w:color w:val="000000"/>
                <w:kern w:val="0"/>
                <w:sz w:val="28"/>
                <w:lang w:bidi="ar"/>
              </w:rPr>
              <w:t>；</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2.保险行业</w:t>
            </w:r>
            <w:r>
              <w:rPr>
                <w:rFonts w:hint="eastAsia" w:ascii="Times New Roman" w:hAnsi="Times New Roman" w:eastAsia="仿宋_GB2312" w:cs="Times New Roman"/>
                <w:color w:val="000000"/>
                <w:kern w:val="0"/>
                <w:sz w:val="28"/>
                <w:lang w:bidi="ar"/>
              </w:rPr>
              <w:t>5</w:t>
            </w:r>
            <w:r>
              <w:rPr>
                <w:rFonts w:ascii="Times New Roman" w:hAnsi="Times New Roman" w:eastAsia="仿宋_GB2312" w:cs="Times New Roman"/>
                <w:color w:val="000000"/>
                <w:kern w:val="0"/>
                <w:sz w:val="28"/>
                <w:lang w:bidi="ar"/>
              </w:rPr>
              <w:t>年及以上从业经验，3年以上国内大型保险公司或保险经纪公司</w:t>
            </w:r>
            <w:r>
              <w:rPr>
                <w:rFonts w:hint="eastAsia" w:ascii="Times New Roman" w:hAnsi="Times New Roman" w:eastAsia="仿宋_GB2312" w:cs="Times New Roman"/>
                <w:color w:val="000000"/>
                <w:kern w:val="0"/>
                <w:sz w:val="28"/>
                <w:lang w:bidi="ar"/>
              </w:rPr>
              <w:t>业务高管</w:t>
            </w:r>
            <w:r>
              <w:rPr>
                <w:rFonts w:ascii="Times New Roman" w:hAnsi="Times New Roman" w:eastAsia="仿宋_GB2312" w:cs="Times New Roman"/>
                <w:color w:val="000000"/>
                <w:kern w:val="0"/>
                <w:sz w:val="28"/>
                <w:lang w:bidi="ar"/>
              </w:rPr>
              <w:t>及以上级别工作经验；</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3.熟悉保险经纪行业相关政策法规；</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4.有较强业务敏锐度、领导决策、分析判断、组织协调能力；</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5.熟悉全省多地保险市场情况，拥有较好的渠道资源；</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6.具备较强省内外业务拓展能力，能与监管部门快速建立联系；</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7.符合监管机构规定的保险经纪机构高级管理人员任职审核及审查要求。</w:t>
            </w:r>
          </w:p>
        </w:tc>
      </w:tr>
      <w:tr>
        <w:tblPrEx>
          <w:tblCellMar>
            <w:top w:w="0" w:type="dxa"/>
            <w:left w:w="108" w:type="dxa"/>
            <w:bottom w:w="0" w:type="dxa"/>
            <w:right w:w="108" w:type="dxa"/>
          </w:tblCellMar>
        </w:tblPrEx>
        <w:trPr>
          <w:trHeight w:val="6369"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副总经理</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（内控）</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1人</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kern w:val="0"/>
                <w:sz w:val="28"/>
                <w:lang w:bidi="ar"/>
              </w:rPr>
            </w:pPr>
            <w:r>
              <w:rPr>
                <w:rFonts w:ascii="Times New Roman" w:hAnsi="Times New Roman" w:eastAsia="仿宋_GB2312" w:cs="Times New Roman"/>
                <w:color w:val="000000"/>
                <w:kern w:val="0"/>
                <w:sz w:val="28"/>
                <w:lang w:bidi="ar"/>
              </w:rPr>
              <w:t>本科及以上</w:t>
            </w:r>
          </w:p>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（双证）</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财会、金融</w:t>
            </w:r>
            <w:r>
              <w:rPr>
                <w:rFonts w:hint="eastAsia" w:ascii="Times New Roman" w:hAnsi="Times New Roman" w:eastAsia="仿宋_GB2312" w:cs="Times New Roman"/>
                <w:color w:val="000000"/>
                <w:kern w:val="0"/>
                <w:sz w:val="28"/>
                <w:lang w:bidi="ar"/>
              </w:rPr>
              <w:t>、法律</w:t>
            </w:r>
            <w:r>
              <w:rPr>
                <w:rFonts w:ascii="Times New Roman" w:hAnsi="Times New Roman" w:eastAsia="仿宋_GB2312" w:cs="Times New Roman"/>
                <w:color w:val="000000"/>
                <w:kern w:val="0"/>
                <w:sz w:val="28"/>
                <w:lang w:bidi="ar"/>
              </w:rPr>
              <w:t>等相关专业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spacing w:line="460" w:lineRule="exact"/>
              <w:jc w:val="left"/>
              <w:textAlignment w:val="center"/>
              <w:rPr>
                <w:rFonts w:ascii="Times New Roman" w:hAnsi="Times New Roman" w:eastAsia="仿宋_GB2312" w:cs="Times New Roman"/>
                <w:color w:val="000000"/>
                <w:kern w:val="0"/>
                <w:sz w:val="28"/>
                <w:lang w:bidi="ar"/>
              </w:rPr>
            </w:pPr>
            <w:r>
              <w:rPr>
                <w:rFonts w:ascii="Times New Roman" w:hAnsi="Times New Roman" w:eastAsia="仿宋_GB2312" w:cs="Times New Roman"/>
                <w:color w:val="000000"/>
                <w:kern w:val="0"/>
                <w:sz w:val="28"/>
                <w:lang w:bidi="ar"/>
              </w:rPr>
              <w:t>1.42</w:t>
            </w:r>
            <w:r>
              <w:rPr>
                <w:rFonts w:hint="eastAsia" w:ascii="Times New Roman" w:hAnsi="Times New Roman" w:eastAsia="仿宋_GB2312" w:cs="Times New Roman"/>
                <w:color w:val="000000"/>
                <w:kern w:val="0"/>
                <w:sz w:val="28"/>
                <w:lang w:bidi="ar"/>
              </w:rPr>
              <w:t>周岁</w:t>
            </w:r>
            <w:r>
              <w:rPr>
                <w:rFonts w:ascii="Times New Roman" w:hAnsi="Times New Roman" w:eastAsia="仿宋_GB2312" w:cs="Times New Roman"/>
                <w:color w:val="000000"/>
                <w:kern w:val="0"/>
                <w:sz w:val="28"/>
                <w:lang w:bidi="ar"/>
              </w:rPr>
              <w:t>以下</w:t>
            </w:r>
            <w:r>
              <w:rPr>
                <w:rFonts w:hint="eastAsia" w:ascii="Times New Roman" w:hAnsi="Times New Roman" w:eastAsia="仿宋_GB2312" w:cs="Times New Roman"/>
                <w:color w:val="000000"/>
                <w:kern w:val="0"/>
                <w:sz w:val="28"/>
                <w:lang w:bidi="ar"/>
              </w:rPr>
              <w:t>（1</w:t>
            </w:r>
            <w:r>
              <w:rPr>
                <w:rFonts w:ascii="Times New Roman" w:hAnsi="Times New Roman" w:eastAsia="仿宋_GB2312" w:cs="Times New Roman"/>
                <w:color w:val="000000"/>
                <w:kern w:val="0"/>
                <w:sz w:val="28"/>
                <w:lang w:bidi="ar"/>
              </w:rPr>
              <w:t>981</w:t>
            </w:r>
            <w:r>
              <w:rPr>
                <w:rFonts w:hint="eastAsia" w:ascii="Times New Roman" w:hAnsi="Times New Roman" w:eastAsia="仿宋_GB2312" w:cs="Times New Roman"/>
                <w:color w:val="000000"/>
                <w:kern w:val="0"/>
                <w:sz w:val="28"/>
                <w:lang w:bidi="ar"/>
              </w:rPr>
              <w:t>年9月3</w:t>
            </w:r>
            <w:r>
              <w:rPr>
                <w:rFonts w:ascii="Times New Roman" w:hAnsi="Times New Roman" w:eastAsia="仿宋_GB2312" w:cs="Times New Roman"/>
                <w:color w:val="000000"/>
                <w:kern w:val="0"/>
                <w:sz w:val="28"/>
                <w:lang w:bidi="ar"/>
              </w:rPr>
              <w:t>0</w:t>
            </w:r>
            <w:r>
              <w:rPr>
                <w:rFonts w:hint="eastAsia" w:ascii="Times New Roman" w:hAnsi="Times New Roman" w:eastAsia="仿宋_GB2312" w:cs="Times New Roman"/>
                <w:color w:val="000000"/>
                <w:kern w:val="0"/>
                <w:sz w:val="28"/>
                <w:lang w:bidi="ar"/>
              </w:rPr>
              <w:t>日后出生）</w:t>
            </w:r>
            <w:r>
              <w:rPr>
                <w:rFonts w:ascii="Times New Roman" w:hAnsi="Times New Roman" w:eastAsia="仿宋_GB2312" w:cs="Times New Roman"/>
                <w:color w:val="000000"/>
                <w:kern w:val="0"/>
                <w:sz w:val="28"/>
                <w:lang w:bidi="ar"/>
              </w:rPr>
              <w:t>，本科及以上学历，学士及以上学位；</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2.</w:t>
            </w:r>
            <w:r>
              <w:rPr>
                <w:rFonts w:hint="eastAsia" w:ascii="Times New Roman" w:hAnsi="Times New Roman" w:eastAsia="仿宋_GB2312" w:cs="Times New Roman"/>
                <w:color w:val="000000"/>
                <w:kern w:val="0"/>
                <w:sz w:val="28"/>
                <w:lang w:bidi="ar"/>
              </w:rPr>
              <w:t>具有5年以上国有保险行业或上市公司财务、法务或综合部门管理经验；</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3.熟悉国家会计准则、税法政策，精通财务管理；精通全</w:t>
            </w:r>
            <w:r>
              <w:rPr>
                <w:rFonts w:hint="eastAsia" w:ascii="Times New Roman" w:hAnsi="Times New Roman" w:eastAsia="仿宋_GB2312" w:cs="Times New Roman"/>
                <w:color w:val="000000"/>
                <w:kern w:val="0"/>
                <w:sz w:val="28"/>
                <w:lang w:bidi="ar"/>
              </w:rPr>
              <w:t>盘账</w:t>
            </w:r>
            <w:r>
              <w:rPr>
                <w:rFonts w:ascii="Times New Roman" w:hAnsi="Times New Roman" w:eastAsia="仿宋_GB2312" w:cs="Times New Roman"/>
                <w:color w:val="000000"/>
                <w:kern w:val="0"/>
                <w:sz w:val="28"/>
                <w:lang w:bidi="ar"/>
              </w:rPr>
              <w:t>务，熟悉项目预算及结算工作</w:t>
            </w:r>
            <w:r>
              <w:rPr>
                <w:rFonts w:hint="eastAsia" w:ascii="Times New Roman" w:hAnsi="Times New Roman" w:eastAsia="仿宋_GB2312" w:cs="Times New Roman"/>
                <w:color w:val="000000"/>
                <w:kern w:val="0"/>
                <w:sz w:val="28"/>
                <w:lang w:bidi="ar"/>
              </w:rPr>
              <w:t>，具有较强的财务分析能力，熟悉财务控制、预算管理、资金运营、财务结算及稽核流程；</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4.</w:t>
            </w:r>
            <w:r>
              <w:rPr>
                <w:rFonts w:hint="eastAsia" w:ascii="Times New Roman" w:hAnsi="Times New Roman" w:eastAsia="仿宋_GB2312" w:cs="Times New Roman"/>
                <w:color w:val="000000"/>
                <w:kern w:val="0"/>
                <w:sz w:val="28"/>
                <w:lang w:bidi="ar"/>
              </w:rPr>
              <w:t>熟知公司法、经济法及保险金融行业法律法规，能就公司决策提供专业法律意见及风险预警；</w:t>
            </w:r>
          </w:p>
          <w:p>
            <w:pPr>
              <w:widowControl/>
              <w:spacing w:line="460" w:lineRule="exact"/>
              <w:jc w:val="left"/>
              <w:textAlignment w:val="center"/>
              <w:rPr>
                <w:rFonts w:ascii="Times New Roman" w:hAnsi="Times New Roman" w:eastAsia="仿宋_GB2312" w:cs="Times New Roman"/>
                <w:color w:val="000000"/>
                <w:kern w:val="0"/>
                <w:sz w:val="28"/>
                <w:lang w:bidi="ar"/>
              </w:rPr>
            </w:pPr>
            <w:r>
              <w:rPr>
                <w:rFonts w:ascii="Times New Roman" w:hAnsi="Times New Roman" w:eastAsia="仿宋_GB2312" w:cs="Times New Roman"/>
                <w:color w:val="000000"/>
                <w:kern w:val="0"/>
                <w:sz w:val="28"/>
                <w:lang w:bidi="ar"/>
              </w:rPr>
              <w:t>5.具备国有企业党建纪检、人事工会、宣传行政后勤工作统筹管理能力；</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6.符合监管机构规定的保险经纪机构高级管理人员任职审核及审查要求。</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B238C"/>
    <w:rsid w:val="231B2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2"/>
    <w:basedOn w:val="1"/>
    <w:unhideWhenUsed/>
    <w:uiPriority w:val="99"/>
    <w:pPr>
      <w:widowControl/>
      <w:spacing w:after="120" w:line="480" w:lineRule="auto"/>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2023-09-28T10:08:00Z</dcterms:created>
  <dc:creator>卢玥伊（借调）</dc:creator>
  <cp:lastModifiedBy>卢玥伊（借调）</cp:lastModifiedBy>
  <dcterms:modified xsi:type="dcterms:W3CDTF">2023-09-28T10:08:26Z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54A59F7BFFC7498BB35F17422BA94209</vt:lpwstr>
  </property>
</Properties>
</file>