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rPr>
          <w:rFonts w:ascii="Times New Roman" w:hAnsi="Times New Roman"/>
        </w:rPr>
      </w:pPr>
      <w:r>
        <w:rPr>
          <w:rFonts w:hint="eastAsia" w:ascii="Times New Roman" w:hAnsi="Times New Roman"/>
        </w:rPr>
        <w:t>投资</w:t>
      </w:r>
      <w:r>
        <w:rPr>
          <w:rFonts w:ascii="Times New Roman" w:hAnsi="Times New Roman"/>
        </w:rPr>
        <w:t>部</w:t>
      </w:r>
      <w:r>
        <w:rPr>
          <w:rFonts w:hint="eastAsia" w:ascii="Times New Roman" w:hAnsi="Times New Roman"/>
        </w:rPr>
        <w:t>部门负责人</w:t>
      </w:r>
      <w:r>
        <w:rPr>
          <w:rFonts w:ascii="Times New Roman" w:hAnsi="Times New Roman"/>
        </w:rPr>
        <w:t>岗位说明书</w:t>
      </w:r>
    </w:p>
    <w:tbl>
      <w:tblPr>
        <w:tblStyle w:val="27"/>
        <w:tblW w:w="100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064"/>
        <w:gridCol w:w="142"/>
        <w:gridCol w:w="567"/>
        <w:gridCol w:w="2410"/>
        <w:gridCol w:w="1843"/>
        <w:gridCol w:w="30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2" w:type="dxa"/>
            <w:gridSpan w:val="7"/>
            <w:shd w:val="clear" w:color="auto" w:fill="F2F2F2"/>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基本信息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岗位名称</w:t>
            </w:r>
          </w:p>
        </w:tc>
        <w:tc>
          <w:tcPr>
            <w:tcW w:w="3119" w:type="dxa"/>
            <w:gridSpan w:val="3"/>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部门负责人</w:t>
            </w:r>
          </w:p>
        </w:tc>
        <w:tc>
          <w:tcPr>
            <w:tcW w:w="1843" w:type="dxa"/>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岗位编号</w:t>
            </w:r>
          </w:p>
        </w:tc>
        <w:tc>
          <w:tcPr>
            <w:tcW w:w="3086" w:type="dxa"/>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所属部门</w:t>
            </w:r>
          </w:p>
        </w:tc>
        <w:tc>
          <w:tcPr>
            <w:tcW w:w="3119" w:type="dxa"/>
            <w:gridSpan w:val="3"/>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投资部</w:t>
            </w:r>
          </w:p>
        </w:tc>
        <w:tc>
          <w:tcPr>
            <w:tcW w:w="1843" w:type="dxa"/>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岗位编制</w:t>
            </w:r>
          </w:p>
        </w:tc>
        <w:tc>
          <w:tcPr>
            <w:tcW w:w="3086" w:type="dxa"/>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岗位描述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vAlign w:val="center"/>
          </w:tcPr>
          <w:p>
            <w:pPr>
              <w:pStyle w:val="70"/>
              <w:spacing w:after="0" w:line="288" w:lineRule="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根据</w:t>
            </w:r>
            <w:r>
              <w:rPr>
                <w:rFonts w:hint="eastAsia" w:ascii="Times New Roman" w:hAnsi="Times New Roman"/>
                <w:color w:val="000000" w:themeColor="text1"/>
                <w:sz w:val="21"/>
                <w:szCs w:val="21"/>
                <w14:textFill>
                  <w14:solidFill>
                    <w14:schemeClr w14:val="tx1"/>
                  </w14:solidFill>
                </w14:textFill>
              </w:rPr>
              <w:t>建投</w:t>
            </w:r>
            <w:r>
              <w:rPr>
                <w:rFonts w:ascii="Times New Roman" w:hAnsi="Times New Roman"/>
                <w:color w:val="000000" w:themeColor="text1"/>
                <w:sz w:val="21"/>
                <w:szCs w:val="21"/>
                <w14:textFill>
                  <w14:solidFill>
                    <w14:schemeClr w14:val="tx1"/>
                  </w14:solidFill>
                </w14:textFill>
              </w:rPr>
              <w:t>集团有关规定，在上级领导的指示下，</w:t>
            </w:r>
            <w:r>
              <w:rPr>
                <w:rFonts w:hint="eastAsia" w:ascii="Times New Roman" w:hAnsi="Times New Roman"/>
                <w:color w:val="000000" w:themeColor="text1"/>
                <w:sz w:val="21"/>
                <w:szCs w:val="21"/>
                <w14:textFill>
                  <w14:solidFill>
                    <w14:schemeClr w14:val="tx1"/>
                  </w14:solidFill>
                </w14:textFill>
              </w:rPr>
              <w:t>按计划组织规划、实施各项投资工作，</w:t>
            </w:r>
            <w:r>
              <w:rPr>
                <w:rFonts w:ascii="Times New Roman" w:hAnsi="Times New Roman"/>
                <w:color w:val="000000" w:themeColor="text1"/>
                <w:sz w:val="21"/>
                <w:szCs w:val="21"/>
                <w14:textFill>
                  <w14:solidFill>
                    <w14:schemeClr w14:val="tx1"/>
                  </w14:solidFill>
                </w14:textFill>
              </w:rPr>
              <w:t>确保各项工作顺利进行。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tcBorders>
              <w:bottom w:val="single" w:color="auto" w:sz="4" w:space="0"/>
            </w:tcBorders>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岗位职责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04" w:type="dxa"/>
            <w:gridSpan w:val="2"/>
            <w:tcBorders>
              <w:top w:val="single" w:color="auto" w:sz="4" w:space="0"/>
              <w:bottom w:val="single" w:color="auto" w:sz="4" w:space="0"/>
            </w:tcBorders>
            <w:shd w:val="clear" w:color="auto" w:fill="auto"/>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职责项</w:t>
            </w:r>
          </w:p>
        </w:tc>
        <w:tc>
          <w:tcPr>
            <w:tcW w:w="8048" w:type="dxa"/>
            <w:gridSpan w:val="5"/>
            <w:tcBorders>
              <w:top w:val="single" w:color="auto" w:sz="4" w:space="0"/>
              <w:bottom w:val="single" w:color="auto" w:sz="4" w:space="0"/>
            </w:tcBorders>
            <w:shd w:val="clear" w:color="auto" w:fill="auto"/>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工作任务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tcBorders>
              <w:top w:val="single" w:color="auto" w:sz="4" w:space="0"/>
            </w:tcBorders>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w:t>
            </w:r>
            <w:r>
              <w:rPr>
                <w:rFonts w:hint="eastAsia"/>
                <w:b/>
                <w:color w:val="000000" w:themeColor="text1"/>
                <w:szCs w:val="21"/>
                <w14:textFill>
                  <w14:solidFill>
                    <w14:schemeClr w14:val="tx1"/>
                  </w14:solidFill>
                </w14:textFill>
              </w:rPr>
              <w:t>战略规划</w:t>
            </w:r>
          </w:p>
        </w:tc>
        <w:tc>
          <w:tcPr>
            <w:tcW w:w="709" w:type="dxa"/>
            <w:gridSpan w:val="2"/>
            <w:tcBorders>
              <w:top w:val="single" w:color="auto" w:sz="4" w:space="0"/>
            </w:tcBorders>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7339" w:type="dxa"/>
            <w:gridSpan w:val="3"/>
            <w:tcBorders>
              <w:top w:val="single" w:color="auto" w:sz="4" w:space="0"/>
            </w:tcBorders>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根据集团发展战略规划与定位，参与制定集团</w:t>
            </w:r>
            <w:r>
              <w:rPr>
                <w:rFonts w:hint="eastAsia"/>
                <w:color w:val="000000" w:themeColor="text1"/>
                <w:szCs w:val="21"/>
                <w14:textFill>
                  <w14:solidFill>
                    <w14:schemeClr w14:val="tx1"/>
                  </w14:solidFill>
                </w14:textFill>
              </w:rPr>
              <w:t>发展战略规划，并指导下属子公司制度、实施发展战略规划；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numPr>
                <w:ilvl w:val="0"/>
                <w:numId w:val="1"/>
              </w:numPr>
              <w:spacing w:line="288" w:lineRule="auto"/>
              <w:ind w:left="420"/>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7339" w:type="dxa"/>
            <w:gridSpan w:val="3"/>
            <w:vAlign w:val="center"/>
          </w:tcPr>
          <w:p>
            <w:pPr>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根据集团发展战略规划，完成集团年度资本运作规划的编制和拟定；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numPr>
                <w:ilvl w:val="0"/>
                <w:numId w:val="1"/>
              </w:numPr>
              <w:spacing w:line="288" w:lineRule="auto"/>
              <w:ind w:left="420"/>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7339" w:type="dxa"/>
            <w:gridSpan w:val="3"/>
            <w:vAlign w:val="center"/>
          </w:tcPr>
          <w:p>
            <w:pPr>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负责进行集团战略发展规划的动态管理；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numPr>
                <w:ilvl w:val="0"/>
                <w:numId w:val="1"/>
              </w:numPr>
              <w:spacing w:line="288" w:lineRule="auto"/>
              <w:ind w:left="420"/>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339" w:type="dxa"/>
            <w:gridSpan w:val="3"/>
            <w:vAlign w:val="center"/>
          </w:tcPr>
          <w:p>
            <w:pPr>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负责编写年度发展报告。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w:t>
            </w:r>
            <w:r>
              <w:rPr>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投资管理</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.1</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负责集团本部拟投资项目的前期论证、调研、组织评审、上报、实施等工作；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.2</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负责下属子公司上报投资项目的调研、分析、审核，协助下属子公司完成投资项目的上报及实施；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2.3</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负责组织集团相关部门对投资项目开展调研论证和投后评价工作，根据公司考核制度对投资项目进行考核评价；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2.4</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负责新增投资项目的挖掘，展开行业调研，寻求优质投资项目，并进行充分地调研论证；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3.对外合作</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.1</w:t>
            </w:r>
          </w:p>
        </w:tc>
        <w:tc>
          <w:tcPr>
            <w:tcW w:w="7339" w:type="dxa"/>
            <w:gridSpan w:val="3"/>
            <w:vAlign w:val="center"/>
          </w:tcPr>
          <w:p>
            <w:pPr>
              <w:spacing w:line="288"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负责集团对外交流合作相关工作，积极寻求项目合作企业，维护集团和各合作合资企业关系；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.2</w:t>
            </w:r>
          </w:p>
        </w:tc>
        <w:tc>
          <w:tcPr>
            <w:tcW w:w="7339" w:type="dxa"/>
            <w:gridSpan w:val="3"/>
            <w:vAlign w:val="center"/>
          </w:tcPr>
          <w:p>
            <w:pPr>
              <w:spacing w:line="288"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负责集团与各金融机构，中介服务咨询机构等的沟通合作，建立健全集团合作服务机制；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w:t>
            </w:r>
            <w:r>
              <w:rPr>
                <w:rFonts w:hint="eastAsia"/>
                <w:b/>
                <w:color w:val="000000" w:themeColor="text1"/>
                <w:szCs w:val="21"/>
                <w14:textFill>
                  <w14:solidFill>
                    <w14:schemeClr w14:val="tx1"/>
                  </w14:solidFill>
                </w14:textFill>
              </w:rPr>
              <w:t>政策研究</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4.1</w:t>
            </w:r>
          </w:p>
        </w:tc>
        <w:tc>
          <w:tcPr>
            <w:tcW w:w="7339" w:type="dxa"/>
            <w:gridSpan w:val="3"/>
            <w:vAlign w:val="center"/>
          </w:tcPr>
          <w:p>
            <w:pPr>
              <w:spacing w:line="288"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负责收集、整理、解读、发布集团所涉及行业投资板块相关政策、行业动态、科研创新等信息；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4.2</w:t>
            </w:r>
          </w:p>
        </w:tc>
        <w:tc>
          <w:tcPr>
            <w:tcW w:w="7339" w:type="dxa"/>
            <w:gridSpan w:val="3"/>
            <w:vAlign w:val="center"/>
          </w:tcPr>
          <w:p>
            <w:pPr>
              <w:spacing w:line="288"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负责牵头组织开展对集团有重大影响的方针政策进行研究分析、交流、宣贯，为集团领导决策提供依据；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5.</w:t>
            </w:r>
            <w:r>
              <w:rPr>
                <w:rFonts w:hint="eastAsia"/>
                <w:b/>
                <w:color w:val="000000" w:themeColor="text1"/>
                <w:szCs w:val="21"/>
                <w14:textFill>
                  <w14:solidFill>
                    <w14:schemeClr w14:val="tx1"/>
                  </w14:solidFill>
                </w14:textFill>
              </w:rPr>
              <w:t>部门管理</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5.1</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负责本部门的上级决议通知、指令下达及监督执行工作；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本</w:t>
            </w:r>
            <w:r>
              <w:rPr>
                <w:color w:val="000000" w:themeColor="text1"/>
                <w:szCs w:val="21"/>
                <w14:textFill>
                  <w14:solidFill>
                    <w14:schemeClr w14:val="tx1"/>
                  </w14:solidFill>
                </w14:textFill>
              </w:rPr>
              <w:t>部门内部队伍建设和文化建设；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5.3</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负责部门内部员工专业能力的培养，建设发展优秀运营管理队伍；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5.4</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负责部门内部员工的业务分工、考核等管理工作；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5.5</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牵头负责部门内保密管理工作；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5.6</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监督、指导下属员工做好本部门内文件、资料、档案的收集、归类、整理等日常管理工作。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w:t>
            </w:r>
            <w:r>
              <w:rPr>
                <w:b/>
                <w:color w:val="000000" w:themeColor="text1"/>
                <w:szCs w:val="21"/>
                <w14:textFill>
                  <w14:solidFill>
                    <w14:schemeClr w14:val="tx1"/>
                  </w14:solidFill>
                </w14:textFill>
              </w:rPr>
              <w:t>.其他</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6.1</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参与集团公司市场资本运作，拓展并维护与资本市场的关系；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6.2</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对外协调市政府办、市国资委、市国土局、规划局、住建局等相关部门工作；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3</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完成上级领导交办的其他事项。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2" w:type="dxa"/>
            <w:gridSpan w:val="7"/>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40" w:type="dxa"/>
            <w:vMerge w:val="restart"/>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教育</w:t>
            </w:r>
          </w:p>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水平</w:t>
            </w:r>
          </w:p>
        </w:tc>
        <w:tc>
          <w:tcPr>
            <w:tcW w:w="1206" w:type="dxa"/>
            <w:gridSpan w:val="2"/>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学历</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硕士研究生及以上，条件特别优异者可适当放宽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40" w:type="dxa"/>
            <w:vMerge w:val="continue"/>
            <w:shd w:val="clear" w:color="auto" w:fill="FFFFFF"/>
            <w:vAlign w:val="center"/>
          </w:tcPr>
          <w:p>
            <w:pPr>
              <w:spacing w:line="288" w:lineRule="auto"/>
              <w:jc w:val="center"/>
              <w:rPr>
                <w:b/>
                <w:color w:val="000000" w:themeColor="text1"/>
                <w:szCs w:val="21"/>
                <w14:textFill>
                  <w14:solidFill>
                    <w14:schemeClr w14:val="tx1"/>
                  </w14:solidFill>
                </w14:textFill>
              </w:rPr>
            </w:pPr>
          </w:p>
        </w:tc>
        <w:tc>
          <w:tcPr>
            <w:tcW w:w="1206" w:type="dxa"/>
            <w:gridSpan w:val="2"/>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专业</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金融、经济、财会、</w:t>
            </w:r>
            <w:r>
              <w:rPr>
                <w:rFonts w:hint="eastAsia"/>
                <w:color w:val="000000" w:themeColor="text1"/>
                <w:kern w:val="0"/>
                <w:szCs w:val="21"/>
                <w14:textFill>
                  <w14:solidFill>
                    <w14:schemeClr w14:val="tx1"/>
                  </w14:solidFill>
                </w14:textFill>
              </w:rPr>
              <w:t>法律等</w:t>
            </w:r>
            <w:r>
              <w:rPr>
                <w:rFonts w:hint="eastAsia"/>
                <w:color w:val="000000" w:themeColor="text1"/>
                <w:kern w:val="0"/>
                <w:szCs w:val="21"/>
                <w:lang w:val="en-GB"/>
                <w14:textFill>
                  <w14:solidFill>
                    <w14:schemeClr w14:val="tx1"/>
                  </w14:solidFill>
                </w14:textFill>
              </w:rPr>
              <w:t>专业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工作经验</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14:textFill>
                  <w14:solidFill>
                    <w14:schemeClr w14:val="tx1"/>
                  </w14:solidFill>
                </w14:textFill>
              </w:rPr>
              <w:t>具备</w:t>
            </w:r>
            <w:r>
              <w:rPr>
                <w:color w:val="000000" w:themeColor="text1"/>
                <w:kern w:val="0"/>
                <w:szCs w:val="21"/>
                <w:lang w:val="en-GB"/>
                <w14:textFill>
                  <w14:solidFill>
                    <w14:schemeClr w14:val="tx1"/>
                  </w14:solidFill>
                </w14:textFill>
              </w:rPr>
              <w:t>五年以上</w:t>
            </w:r>
            <w:r>
              <w:rPr>
                <w:rFonts w:hint="eastAsia"/>
                <w:color w:val="000000" w:themeColor="text1"/>
                <w:kern w:val="0"/>
                <w:szCs w:val="21"/>
                <w14:textFill>
                  <w14:solidFill>
                    <w14:schemeClr w14:val="tx1"/>
                  </w14:solidFill>
                </w14:textFill>
              </w:rPr>
              <w:t>在大中型企业</w:t>
            </w:r>
            <w:r>
              <w:rPr>
                <w:rFonts w:hint="eastAsia"/>
                <w:color w:val="000000" w:themeColor="text1"/>
                <w:kern w:val="0"/>
                <w:szCs w:val="21"/>
                <w:lang w:val="en-GB"/>
                <w14:textFill>
                  <w14:solidFill>
                    <w14:schemeClr w14:val="tx1"/>
                  </w14:solidFill>
                </w14:textFill>
              </w:rPr>
              <w:t>、</w:t>
            </w:r>
            <w:r>
              <w:rPr>
                <w:rFonts w:hint="eastAsia"/>
                <w:color w:val="000000" w:themeColor="text1"/>
                <w:kern w:val="0"/>
                <w:szCs w:val="21"/>
                <w14:textFill>
                  <w14:solidFill>
                    <w14:schemeClr w14:val="tx1"/>
                  </w14:solidFill>
                </w14:textFill>
              </w:rPr>
              <w:t>政府经济管理职能部门</w:t>
            </w:r>
            <w:r>
              <w:rPr>
                <w:rFonts w:hint="eastAsia"/>
                <w:color w:val="000000" w:themeColor="text1"/>
                <w:kern w:val="0"/>
                <w:szCs w:val="21"/>
                <w:lang w:val="en-GB"/>
                <w14:textFill>
                  <w14:solidFill>
                    <w14:schemeClr w14:val="tx1"/>
                  </w14:solidFill>
                </w14:textFill>
              </w:rPr>
              <w:t>、</w:t>
            </w:r>
            <w:r>
              <w:rPr>
                <w:rFonts w:hint="eastAsia"/>
                <w:color w:val="000000" w:themeColor="text1"/>
                <w:kern w:val="0"/>
                <w:szCs w:val="21"/>
                <w14:textFill>
                  <w14:solidFill>
                    <w14:schemeClr w14:val="tx1"/>
                  </w14:solidFill>
                </w14:textFill>
              </w:rPr>
              <w:t>政府平台公司</w:t>
            </w:r>
            <w:r>
              <w:rPr>
                <w:color w:val="000000" w:themeColor="text1"/>
                <w:kern w:val="0"/>
                <w:szCs w:val="21"/>
                <w:lang w:val="en-GB"/>
                <w14:textFill>
                  <w14:solidFill>
                    <w14:schemeClr w14:val="tx1"/>
                  </w14:solidFill>
                </w14:textFill>
              </w:rPr>
              <w:t>担任</w:t>
            </w:r>
            <w:r>
              <w:rPr>
                <w:rFonts w:hint="eastAsia"/>
                <w:color w:val="000000" w:themeColor="text1"/>
                <w:kern w:val="0"/>
                <w:szCs w:val="21"/>
                <w14:textFill>
                  <w14:solidFill>
                    <w14:schemeClr w14:val="tx1"/>
                  </w14:solidFill>
                </w14:textFill>
              </w:rPr>
              <w:t>部门负责人</w:t>
            </w:r>
            <w:r>
              <w:rPr>
                <w:color w:val="000000" w:themeColor="text1"/>
                <w:kern w:val="0"/>
                <w:szCs w:val="21"/>
                <w:lang w:val="en-GB"/>
                <w14:textFill>
                  <w14:solidFill>
                    <w14:schemeClr w14:val="tx1"/>
                  </w14:solidFill>
                </w14:textFill>
              </w:rPr>
              <w:t>经历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资质证书</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具有相关专业证书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金融知识扎实，熟练掌握投资流程和专项业务知识；</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熟悉国家金融政策</w:t>
            </w:r>
            <w:r>
              <w:rPr>
                <w:rFonts w:hint="eastAsia"/>
                <w:color w:val="000000" w:themeColor="text1"/>
                <w:kern w:val="0"/>
                <w:szCs w:val="21"/>
                <w14:textFill>
                  <w14:solidFill>
                    <w14:schemeClr w14:val="tx1"/>
                  </w14:solidFill>
                </w14:textFill>
              </w:rPr>
              <w:t>和相关法律法规</w:t>
            </w:r>
            <w:r>
              <w:rPr>
                <w:color w:val="000000" w:themeColor="text1"/>
                <w:kern w:val="0"/>
                <w:szCs w:val="21"/>
                <w:lang w:val="en-GB"/>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技能要求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掌握常用的办公软件，熟练使用电脑；</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精通投融资分析的基本方法、原理、模型和常用工具，</w:t>
            </w:r>
            <w:r>
              <w:rPr>
                <w:rFonts w:hint="eastAsia"/>
                <w:color w:val="000000" w:themeColor="text1"/>
                <w:kern w:val="0"/>
                <w:szCs w:val="21"/>
                <w:lang w:val="en-GB"/>
                <w14:textFill>
                  <w14:solidFill>
                    <w14:schemeClr w14:val="tx1"/>
                  </w14:solidFill>
                </w14:textFill>
              </w:rPr>
              <w:t>较强的文字功底。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能力要求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具有有良好的投资分析能力和判断能力；</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有</w:t>
            </w:r>
            <w:r>
              <w:rPr>
                <w:rFonts w:hint="eastAsia"/>
                <w:color w:val="000000" w:themeColor="text1"/>
                <w:kern w:val="0"/>
                <w:szCs w:val="21"/>
                <w:lang w:val="en-GB"/>
                <w14:textFill>
                  <w14:solidFill>
                    <w14:schemeClr w14:val="tx1"/>
                  </w14:solidFill>
                </w14:textFill>
              </w:rPr>
              <w:t>很</w:t>
            </w:r>
            <w:r>
              <w:rPr>
                <w:color w:val="000000" w:themeColor="text1"/>
                <w:kern w:val="0"/>
                <w:szCs w:val="21"/>
                <w:lang w:val="en-GB"/>
                <w14:textFill>
                  <w14:solidFill>
                    <w14:schemeClr w14:val="tx1"/>
                  </w14:solidFill>
                </w14:textFill>
              </w:rPr>
              <w:t>强的谈判技能，善于处理复杂的人际关系，能够承受高强度的工作压力。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素质要求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拥护党的路线、方针、政策，讲政治，顾大局，遵规守法，品行端正，诚信廉洁，作风严谨，勤奋敬业，团结合作，敢于担当，有强烈的事业心和责任感；</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具有良好的心理素质，身体健康；</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团队意识、责任感、使命感。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 xml:space="preserve"> 薪酬福利</w:t>
            </w:r>
          </w:p>
        </w:tc>
        <w:tc>
          <w:tcPr>
            <w:tcW w:w="7906" w:type="dxa"/>
            <w:gridSpan w:val="4"/>
            <w:shd w:val="clear" w:color="auto" w:fill="FFFFFF"/>
            <w:vAlign w:val="center"/>
          </w:tcPr>
          <w:p>
            <w:pPr>
              <w:tabs>
                <w:tab w:val="left" w:pos="2340"/>
              </w:tabs>
              <w:spacing w:line="288" w:lineRule="auto"/>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薪酬25万元/年以上（税前），条件优异者面议；提供五险两金和补充医保；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其    他</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无法律法规规定的禁止性情形。</w:t>
            </w:r>
          </w:p>
        </w:tc>
      </w:tr>
    </w:tbl>
    <w:p/>
    <w:p/>
    <w:p/>
    <w:p/>
    <w:p/>
    <w:p/>
    <w:p/>
    <w:p/>
    <w:p>
      <w:pPr>
        <w:pStyle w:val="25"/>
        <w:rPr>
          <w:rFonts w:hint="eastAsia" w:ascii="Times New Roman" w:hAnsi="Times New Roman"/>
        </w:rPr>
      </w:pPr>
    </w:p>
    <w:p>
      <w:pPr>
        <w:pStyle w:val="25"/>
        <w:rPr>
          <w:rFonts w:ascii="Times New Roman" w:hAnsi="Times New Roman"/>
        </w:rPr>
      </w:pPr>
      <w:bookmarkStart w:id="0" w:name="_GoBack"/>
      <w:bookmarkEnd w:id="0"/>
      <w:r>
        <w:rPr>
          <w:rFonts w:hint="eastAsia" w:ascii="Times New Roman" w:hAnsi="Times New Roman"/>
        </w:rPr>
        <w:t>融资部部门负责人</w:t>
      </w:r>
      <w:r>
        <w:rPr>
          <w:rFonts w:ascii="Times New Roman" w:hAnsi="Times New Roman"/>
        </w:rPr>
        <w:t>岗位说明书</w:t>
      </w:r>
    </w:p>
    <w:tbl>
      <w:tblPr>
        <w:tblStyle w:val="27"/>
        <w:tblW w:w="100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064"/>
        <w:gridCol w:w="142"/>
        <w:gridCol w:w="567"/>
        <w:gridCol w:w="2410"/>
        <w:gridCol w:w="1843"/>
        <w:gridCol w:w="30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2" w:type="dxa"/>
            <w:gridSpan w:val="7"/>
            <w:shd w:val="clear" w:color="auto" w:fill="F2F2F2"/>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基本信息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岗位名称</w:t>
            </w:r>
          </w:p>
        </w:tc>
        <w:tc>
          <w:tcPr>
            <w:tcW w:w="3119" w:type="dxa"/>
            <w:gridSpan w:val="3"/>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部门负责人</w:t>
            </w:r>
          </w:p>
        </w:tc>
        <w:tc>
          <w:tcPr>
            <w:tcW w:w="1843" w:type="dxa"/>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岗位编号</w:t>
            </w:r>
          </w:p>
        </w:tc>
        <w:tc>
          <w:tcPr>
            <w:tcW w:w="3086" w:type="dxa"/>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所属部门</w:t>
            </w:r>
          </w:p>
        </w:tc>
        <w:tc>
          <w:tcPr>
            <w:tcW w:w="3119" w:type="dxa"/>
            <w:gridSpan w:val="3"/>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融资部</w:t>
            </w:r>
          </w:p>
        </w:tc>
        <w:tc>
          <w:tcPr>
            <w:tcW w:w="1843" w:type="dxa"/>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岗位编制</w:t>
            </w:r>
          </w:p>
        </w:tc>
        <w:tc>
          <w:tcPr>
            <w:tcW w:w="3086" w:type="dxa"/>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岗位描述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vAlign w:val="center"/>
          </w:tcPr>
          <w:p>
            <w:pPr>
              <w:pStyle w:val="70"/>
              <w:spacing w:after="0" w:line="288" w:lineRule="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根据</w:t>
            </w:r>
            <w:r>
              <w:rPr>
                <w:rFonts w:hint="eastAsia" w:ascii="Times New Roman" w:hAnsi="Times New Roman"/>
                <w:color w:val="000000" w:themeColor="text1"/>
                <w:sz w:val="21"/>
                <w:szCs w:val="21"/>
                <w14:textFill>
                  <w14:solidFill>
                    <w14:schemeClr w14:val="tx1"/>
                  </w14:solidFill>
                </w14:textFill>
              </w:rPr>
              <w:t>建投</w:t>
            </w:r>
            <w:r>
              <w:rPr>
                <w:rFonts w:ascii="Times New Roman" w:hAnsi="Times New Roman"/>
                <w:color w:val="000000" w:themeColor="text1"/>
                <w:sz w:val="21"/>
                <w:szCs w:val="21"/>
                <w14:textFill>
                  <w14:solidFill>
                    <w14:schemeClr w14:val="tx1"/>
                  </w14:solidFill>
                </w14:textFill>
              </w:rPr>
              <w:t>集团有关规定，</w:t>
            </w:r>
            <w:r>
              <w:rPr>
                <w:rFonts w:hint="eastAsia" w:ascii="Times New Roman" w:hAnsi="Times New Roman"/>
                <w:color w:val="000000" w:themeColor="text1"/>
                <w:sz w:val="21"/>
                <w:szCs w:val="21"/>
                <w14:textFill>
                  <w14:solidFill>
                    <w14:schemeClr w14:val="tx1"/>
                  </w14:solidFill>
                </w14:textFill>
              </w:rPr>
              <w:t>在上级领导的指示下，</w:t>
            </w:r>
            <w:r>
              <w:rPr>
                <w:rFonts w:ascii="Times New Roman" w:hAnsi="Times New Roman"/>
                <w:color w:val="000000" w:themeColor="text1"/>
                <w:sz w:val="21"/>
                <w:szCs w:val="21"/>
                <w14:textFill>
                  <w14:solidFill>
                    <w14:schemeClr w14:val="tx1"/>
                  </w14:solidFill>
                </w14:textFill>
              </w:rPr>
              <w:t>主要负责融资管理和融资实施等工作，确保各项工作顺利进行。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tcBorders>
              <w:bottom w:val="single" w:color="auto" w:sz="4" w:space="0"/>
            </w:tcBorders>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岗位职责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04" w:type="dxa"/>
            <w:gridSpan w:val="2"/>
            <w:tcBorders>
              <w:top w:val="single" w:color="auto" w:sz="4" w:space="0"/>
              <w:bottom w:val="single" w:color="auto" w:sz="4" w:space="0"/>
            </w:tcBorders>
            <w:shd w:val="clear" w:color="auto" w:fill="auto"/>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职责项</w:t>
            </w:r>
          </w:p>
        </w:tc>
        <w:tc>
          <w:tcPr>
            <w:tcW w:w="8048" w:type="dxa"/>
            <w:gridSpan w:val="5"/>
            <w:tcBorders>
              <w:top w:val="single" w:color="auto" w:sz="4" w:space="0"/>
              <w:bottom w:val="single" w:color="auto" w:sz="4" w:space="0"/>
            </w:tcBorders>
            <w:shd w:val="clear" w:color="auto" w:fill="auto"/>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工作任务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tcBorders>
              <w:top w:val="single" w:color="auto" w:sz="4" w:space="0"/>
            </w:tcBorders>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1.融资管理</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7339" w:type="dxa"/>
            <w:gridSpan w:val="3"/>
            <w:vAlign w:val="center"/>
          </w:tcPr>
          <w:p>
            <w:pPr>
              <w:pStyle w:val="48"/>
              <w:tabs>
                <w:tab w:val="left" w:pos="0"/>
              </w:tabs>
              <w:adjustRightInd w:val="0"/>
              <w:snapToGrid w:val="0"/>
              <w:ind w:firstLine="0" w:firstLineChars="0"/>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负责</w:t>
            </w:r>
            <w:r>
              <w:rPr>
                <w:rFonts w:ascii="Times New Roman" w:hAnsi="Times New Roman"/>
                <w:color w:val="000000" w:themeColor="text1"/>
                <w14:textFill>
                  <w14:solidFill>
                    <w14:schemeClr w14:val="tx1"/>
                  </w14:solidFill>
                </w14:textFill>
              </w:rPr>
              <w:t>集团公司融资管理制度、流程、风险防范等管控机制的建设工作，并贯彻执行；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7339" w:type="dxa"/>
            <w:gridSpan w:val="3"/>
            <w:vAlign w:val="center"/>
          </w:tcPr>
          <w:p>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依据集团公司融资目标，拟订集团公司融资规划和融资计划，审核通过后进行分解；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负责集团公司所有融资项目的成本预算，组织协调实施融资预算，设计融资方案；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负责分析市场和项目融资风险，对企业短期及较长期的资金需求进行预测，及时出具分析报告，提出相应的应对措施，制定并实施相应的融资解决方案；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通过对企业资产和负债进行全面分析，针对不同银行的特点设计融资项目和方式；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执行投融资决策，实现企业融资的流动性，为资金平衡奠定基础；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进行资金分析和调配，监督各项资金运</w:t>
            </w:r>
            <w:r>
              <w:rPr>
                <w:rFonts w:hint="eastAsia"/>
                <w:color w:val="000000" w:themeColor="text1"/>
                <w:szCs w:val="21"/>
                <w14:textFill>
                  <w14:solidFill>
                    <w14:schemeClr w14:val="tx1"/>
                  </w14:solidFill>
                </w14:textFill>
              </w:rPr>
              <w:t>作</w:t>
            </w:r>
            <w:r>
              <w:rPr>
                <w:color w:val="000000" w:themeColor="text1"/>
                <w:szCs w:val="21"/>
                <w14:textFill>
                  <w14:solidFill>
                    <w14:schemeClr w14:val="tx1"/>
                  </w14:solidFill>
                </w14:textFill>
              </w:rPr>
              <w:t>，优化资金结构，提高资金使用效率。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w:t>
            </w:r>
            <w:r>
              <w:rPr>
                <w:b/>
                <w:color w:val="000000" w:themeColor="text1"/>
                <w:szCs w:val="21"/>
                <w14:textFill>
                  <w14:solidFill>
                    <w14:schemeClr w14:val="tx1"/>
                  </w14:solidFill>
                </w14:textFill>
              </w:rPr>
              <w:t>.效益分析</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.1</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关注国家相关财务政策、金融政策，为</w:t>
            </w:r>
            <w:r>
              <w:rPr>
                <w:rFonts w:hint="eastAsia"/>
                <w:color w:val="000000" w:themeColor="text1"/>
                <w:szCs w:val="21"/>
                <w14:textFill>
                  <w14:solidFill>
                    <w14:schemeClr w14:val="tx1"/>
                  </w14:solidFill>
                </w14:textFill>
              </w:rPr>
              <w:t>集团公司</w:t>
            </w:r>
            <w:r>
              <w:rPr>
                <w:color w:val="000000" w:themeColor="text1"/>
                <w:szCs w:val="21"/>
                <w14:textFill>
                  <w14:solidFill>
                    <w14:schemeClr w14:val="tx1"/>
                  </w14:solidFill>
                </w14:textFill>
              </w:rPr>
              <w:t>合法、合规经营提供支持；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.2</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负责集团公司</w:t>
            </w:r>
            <w:r>
              <w:rPr>
                <w:rFonts w:hint="eastAsia"/>
                <w:color w:val="000000" w:themeColor="text1"/>
                <w:szCs w:val="21"/>
                <w14:textFill>
                  <w14:solidFill>
                    <w14:schemeClr w14:val="tx1"/>
                  </w14:solidFill>
                </w14:textFill>
              </w:rPr>
              <w:t>融</w:t>
            </w:r>
            <w:r>
              <w:rPr>
                <w:color w:val="000000" w:themeColor="text1"/>
                <w:szCs w:val="21"/>
                <w14:textFill>
                  <w14:solidFill>
                    <w14:schemeClr w14:val="tx1"/>
                  </w14:solidFill>
                </w14:textFill>
              </w:rPr>
              <w:t>资分析，并形成分析报告，为</w:t>
            </w:r>
            <w:r>
              <w:rPr>
                <w:rFonts w:hint="eastAsia"/>
                <w:color w:val="000000" w:themeColor="text1"/>
                <w:szCs w:val="21"/>
                <w14:textFill>
                  <w14:solidFill>
                    <w14:schemeClr w14:val="tx1"/>
                  </w14:solidFill>
                </w14:textFill>
              </w:rPr>
              <w:t>集团公司</w:t>
            </w:r>
            <w:r>
              <w:rPr>
                <w:color w:val="000000" w:themeColor="text1"/>
                <w:szCs w:val="21"/>
                <w14:textFill>
                  <w14:solidFill>
                    <w14:schemeClr w14:val="tx1"/>
                  </w14:solidFill>
                </w14:textFill>
              </w:rPr>
              <w:t>决策提供支持。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.内部管理</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.1</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负责本部门的上级决议通知、指令下达及监督执行工作；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.2</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负责本部门内部队伍建设和文化建设；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.3</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负责本部门内部员工专业能力的培养，建设发展优秀运营管理队伍；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.4</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负责部门内部员工的业务分工、考核等管理工作；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.5</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牵头负责部门内保密管理工作；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3.6</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监督、指导下属员工做好本部门内文件、资料、档案的收集、归类、整理等日常管理工作。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w:t>
            </w:r>
            <w:r>
              <w:rPr>
                <w:b/>
                <w:color w:val="000000" w:themeColor="text1"/>
                <w:szCs w:val="21"/>
                <w14:textFill>
                  <w14:solidFill>
                    <w14:schemeClr w14:val="tx1"/>
                  </w14:solidFill>
                </w14:textFill>
              </w:rPr>
              <w:t>其他</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color w:val="000000" w:themeColor="text1"/>
                <w:szCs w:val="21"/>
                <w14:textFill>
                  <w14:solidFill>
                    <w14:schemeClr w14:val="tx1"/>
                  </w14:solidFill>
                </w14:textFill>
              </w:rPr>
              <w:t>.1</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对接协调市政府办、市国资委、市财政等相关政府职能部门工作；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color w:val="000000" w:themeColor="text1"/>
                <w:szCs w:val="21"/>
                <w14:textFill>
                  <w14:solidFill>
                    <w14:schemeClr w14:val="tx1"/>
                  </w14:solidFill>
                </w14:textFill>
              </w:rPr>
              <w:t>.2</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负责与银行、组织或团体等融资合作伙伴的联系，维护良好关系；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color w:val="000000" w:themeColor="text1"/>
                <w:szCs w:val="21"/>
                <w14:textFill>
                  <w14:solidFill>
                    <w14:schemeClr w14:val="tx1"/>
                  </w14:solidFill>
                </w14:textFill>
              </w:rPr>
              <w:t>.3</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负责对子集团公司融资项目统筹规划和指导；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4.4</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协助完成</w:t>
            </w:r>
            <w:r>
              <w:rPr>
                <w:rFonts w:hint="eastAsia"/>
                <w:color w:val="000000" w:themeColor="text1"/>
                <w:szCs w:val="21"/>
                <w14:textFill>
                  <w14:solidFill>
                    <w14:schemeClr w14:val="tx1"/>
                  </w14:solidFill>
                </w14:textFill>
              </w:rPr>
              <w:t>集团</w:t>
            </w:r>
            <w:r>
              <w:rPr>
                <w:color w:val="000000" w:themeColor="text1"/>
                <w:szCs w:val="21"/>
                <w14:textFill>
                  <w14:solidFill>
                    <w14:schemeClr w14:val="tx1"/>
                  </w14:solidFill>
                </w14:textFill>
              </w:rPr>
              <w:t>经济效益分析工作；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4.5</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完成上级领导交办的其他事项。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2" w:type="dxa"/>
            <w:gridSpan w:val="7"/>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40" w:type="dxa"/>
            <w:vMerge w:val="restart"/>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教育</w:t>
            </w:r>
          </w:p>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水平</w:t>
            </w:r>
          </w:p>
        </w:tc>
        <w:tc>
          <w:tcPr>
            <w:tcW w:w="1206" w:type="dxa"/>
            <w:gridSpan w:val="2"/>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学历</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全日制</w:t>
            </w:r>
            <w:r>
              <w:rPr>
                <w:color w:val="000000" w:themeColor="text1"/>
                <w:kern w:val="0"/>
                <w:szCs w:val="21"/>
                <w:lang w:val="en-GB"/>
                <w14:textFill>
                  <w14:solidFill>
                    <w14:schemeClr w14:val="tx1"/>
                  </w14:solidFill>
                </w14:textFill>
              </w:rPr>
              <w:t>大学本科</w:t>
            </w:r>
            <w:r>
              <w:rPr>
                <w:rFonts w:hint="eastAsia"/>
                <w:color w:val="000000" w:themeColor="text1"/>
                <w:kern w:val="0"/>
                <w:szCs w:val="21"/>
                <w:lang w:val="en-GB"/>
                <w14:textFill>
                  <w14:solidFill>
                    <w14:schemeClr w14:val="tx1"/>
                  </w14:solidFill>
                </w14:textFill>
              </w:rPr>
              <w:t>及以上，条件特别优异者可适当放宽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40" w:type="dxa"/>
            <w:vMerge w:val="continue"/>
            <w:shd w:val="clear" w:color="auto" w:fill="FFFFFF"/>
            <w:vAlign w:val="center"/>
          </w:tcPr>
          <w:p>
            <w:pPr>
              <w:spacing w:line="288" w:lineRule="auto"/>
              <w:jc w:val="center"/>
              <w:rPr>
                <w:b/>
                <w:color w:val="000000" w:themeColor="text1"/>
                <w:szCs w:val="21"/>
                <w14:textFill>
                  <w14:solidFill>
                    <w14:schemeClr w14:val="tx1"/>
                  </w14:solidFill>
                </w14:textFill>
              </w:rPr>
            </w:pPr>
          </w:p>
        </w:tc>
        <w:tc>
          <w:tcPr>
            <w:tcW w:w="1206" w:type="dxa"/>
            <w:gridSpan w:val="2"/>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专业</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金融类、经济类、财会类、</w:t>
            </w:r>
            <w:r>
              <w:rPr>
                <w:rFonts w:hint="eastAsia"/>
                <w:color w:val="000000" w:themeColor="text1"/>
                <w:kern w:val="0"/>
                <w:szCs w:val="21"/>
                <w14:textFill>
                  <w14:solidFill>
                    <w14:schemeClr w14:val="tx1"/>
                  </w14:solidFill>
                </w14:textFill>
              </w:rPr>
              <w:t>法律类</w:t>
            </w:r>
            <w:r>
              <w:rPr>
                <w:rFonts w:hint="eastAsia"/>
                <w:color w:val="000000" w:themeColor="text1"/>
                <w:kern w:val="0"/>
                <w:szCs w:val="21"/>
                <w:lang w:val="en-GB"/>
                <w14:textFill>
                  <w14:solidFill>
                    <w14:schemeClr w14:val="tx1"/>
                  </w14:solidFill>
                </w14:textFill>
              </w:rPr>
              <w:t>专业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工作经验</w:t>
            </w:r>
          </w:p>
        </w:tc>
        <w:tc>
          <w:tcPr>
            <w:tcW w:w="7906" w:type="dxa"/>
            <w:gridSpan w:val="4"/>
            <w:shd w:val="clear" w:color="auto" w:fill="FFFFFF"/>
            <w:vAlign w:val="center"/>
          </w:tcPr>
          <w:p>
            <w:pPr>
              <w:tabs>
                <w:tab w:val="left" w:pos="2340"/>
              </w:tabs>
              <w:spacing w:line="288" w:lineRule="auto"/>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具备</w:t>
            </w:r>
            <w:r>
              <w:rPr>
                <w:color w:val="000000" w:themeColor="text1"/>
                <w:kern w:val="0"/>
                <w:szCs w:val="21"/>
                <w:lang w:val="en-GB"/>
                <w14:textFill>
                  <w14:solidFill>
                    <w14:schemeClr w14:val="tx1"/>
                  </w14:solidFill>
                </w14:textFill>
              </w:rPr>
              <w:t>五年以上在</w:t>
            </w:r>
            <w:r>
              <w:rPr>
                <w:rFonts w:hint="eastAsia"/>
                <w:color w:val="000000" w:themeColor="text1"/>
                <w:kern w:val="0"/>
                <w:szCs w:val="21"/>
                <w14:textFill>
                  <w14:solidFill>
                    <w14:schemeClr w14:val="tx1"/>
                  </w14:solidFill>
                </w14:textFill>
              </w:rPr>
              <w:t>大中型企业、金融机构、政府平台公司担任投融资、财务部门负责人经历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资质证书</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具有相关专业证书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14:textFill>
                  <w14:solidFill>
                    <w14:schemeClr w14:val="tx1"/>
                  </w14:solidFill>
                </w14:textFill>
              </w:rPr>
              <w:t>精通</w:t>
            </w:r>
            <w:r>
              <w:rPr>
                <w:color w:val="000000" w:themeColor="text1"/>
                <w:kern w:val="0"/>
                <w:szCs w:val="21"/>
                <w:lang w:val="en-GB"/>
                <w14:textFill>
                  <w14:solidFill>
                    <w14:schemeClr w14:val="tx1"/>
                  </w14:solidFill>
                </w14:textFill>
              </w:rPr>
              <w:t>各类</w:t>
            </w:r>
            <w:r>
              <w:rPr>
                <w:rFonts w:hint="eastAsia"/>
                <w:color w:val="000000" w:themeColor="text1"/>
                <w:kern w:val="0"/>
                <w:szCs w:val="21"/>
                <w14:textFill>
                  <w14:solidFill>
                    <w14:schemeClr w14:val="tx1"/>
                  </w14:solidFill>
                </w14:textFill>
              </w:rPr>
              <w:t>投</w:t>
            </w:r>
            <w:r>
              <w:rPr>
                <w:color w:val="000000" w:themeColor="text1"/>
                <w:kern w:val="0"/>
                <w:szCs w:val="21"/>
                <w:lang w:val="en-GB"/>
                <w14:textFill>
                  <w14:solidFill>
                    <w14:schemeClr w14:val="tx1"/>
                  </w14:solidFill>
                </w14:textFill>
              </w:rPr>
              <w:t>融资</w:t>
            </w:r>
            <w:r>
              <w:rPr>
                <w:rFonts w:hint="eastAsia"/>
                <w:color w:val="000000" w:themeColor="text1"/>
                <w:kern w:val="0"/>
                <w:szCs w:val="21"/>
                <w:lang w:val="en-GB"/>
                <w14:textFill>
                  <w14:solidFill>
                    <w14:schemeClr w14:val="tx1"/>
                  </w14:solidFill>
                </w14:textFill>
              </w:rPr>
              <w:t>、</w:t>
            </w:r>
            <w:r>
              <w:rPr>
                <w:rFonts w:hint="eastAsia"/>
                <w:color w:val="000000" w:themeColor="text1"/>
                <w:kern w:val="0"/>
                <w:szCs w:val="21"/>
                <w14:textFill>
                  <w14:solidFill>
                    <w14:schemeClr w14:val="tx1"/>
                  </w14:solidFill>
                </w14:textFill>
              </w:rPr>
              <w:t>财务、金融</w:t>
            </w:r>
            <w:r>
              <w:rPr>
                <w:color w:val="000000" w:themeColor="text1"/>
                <w:kern w:val="0"/>
                <w:szCs w:val="21"/>
                <w:lang w:val="en-GB"/>
                <w14:textFill>
                  <w14:solidFill>
                    <w14:schemeClr w14:val="tx1"/>
                  </w14:solidFill>
                </w14:textFill>
              </w:rPr>
              <w:t>专业知识；</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熟悉国家金融政策</w:t>
            </w:r>
            <w:r>
              <w:rPr>
                <w:rFonts w:hint="eastAsia"/>
                <w:color w:val="000000" w:themeColor="text1"/>
                <w:kern w:val="0"/>
                <w:szCs w:val="21"/>
                <w14:textFill>
                  <w14:solidFill>
                    <w14:schemeClr w14:val="tx1"/>
                  </w14:solidFill>
                </w14:textFill>
              </w:rPr>
              <w:t>和相关法律法规</w:t>
            </w:r>
            <w:r>
              <w:rPr>
                <w:color w:val="000000" w:themeColor="text1"/>
                <w:kern w:val="0"/>
                <w:szCs w:val="21"/>
                <w:lang w:val="en-GB"/>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技能要求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掌握常用的办公软件，熟练使用电脑；</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精通融资分析的基本方法、原理、模型和常用工具。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能力要求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具有较丰富的资本运作经验与较强的财务风险控制能力； </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14:textFill>
                  <w14:solidFill>
                    <w14:schemeClr w14:val="tx1"/>
                  </w14:solidFill>
                </w14:textFill>
              </w:rPr>
              <w:t>精通</w:t>
            </w:r>
            <w:r>
              <w:rPr>
                <w:color w:val="000000" w:themeColor="text1"/>
                <w:kern w:val="0"/>
                <w:szCs w:val="21"/>
                <w:lang w:val="en-GB"/>
                <w14:textFill>
                  <w14:solidFill>
                    <w14:schemeClr w14:val="tx1"/>
                  </w14:solidFill>
                </w14:textFill>
              </w:rPr>
              <w:t>履行岗位职责所必需的专业知识和能力，工作业绩突出，职业素养优良；</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有良好的融资分析能力和判断能力；</w:t>
            </w:r>
          </w:p>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14:textFill>
                  <w14:solidFill>
                    <w14:schemeClr w14:val="tx1"/>
                  </w14:solidFill>
                </w14:textFill>
              </w:rPr>
              <w:t>具备较强</w:t>
            </w:r>
            <w:r>
              <w:rPr>
                <w:rFonts w:hint="eastAsia"/>
                <w:color w:val="000000" w:themeColor="text1"/>
                <w:kern w:val="0"/>
                <w:szCs w:val="21"/>
                <w:lang w:val="en-GB"/>
                <w14:textFill>
                  <w14:solidFill>
                    <w14:schemeClr w14:val="tx1"/>
                  </w14:solidFill>
                </w14:textFill>
              </w:rPr>
              <w:t>的</w:t>
            </w:r>
            <w:r>
              <w:rPr>
                <w:rFonts w:hint="eastAsia"/>
                <w:color w:val="000000" w:themeColor="text1"/>
                <w:kern w:val="0"/>
                <w:szCs w:val="21"/>
                <w14:textFill>
                  <w14:solidFill>
                    <w14:schemeClr w14:val="tx1"/>
                  </w14:solidFill>
                </w14:textFill>
              </w:rPr>
              <w:t>文字功底</w:t>
            </w:r>
            <w:r>
              <w:rPr>
                <w:rFonts w:hint="eastAsia"/>
                <w:color w:val="000000" w:themeColor="text1"/>
                <w:kern w:val="0"/>
                <w:szCs w:val="21"/>
                <w:lang w:val="en-GB"/>
                <w14:textFill>
                  <w14:solidFill>
                    <w14:schemeClr w14:val="tx1"/>
                  </w14:solidFill>
                </w14:textFill>
              </w:rPr>
              <w:t>；</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有良好的客户关系、协调能力和</w:t>
            </w:r>
            <w:r>
              <w:rPr>
                <w:rFonts w:hint="eastAsia"/>
                <w:color w:val="000000" w:themeColor="text1"/>
                <w:kern w:val="0"/>
                <w:szCs w:val="21"/>
                <w:lang w:val="en-GB"/>
                <w14:textFill>
                  <w14:solidFill>
                    <w14:schemeClr w14:val="tx1"/>
                  </w14:solidFill>
                </w14:textFill>
              </w:rPr>
              <w:t>很</w:t>
            </w:r>
            <w:r>
              <w:rPr>
                <w:color w:val="000000" w:themeColor="text1"/>
                <w:kern w:val="0"/>
                <w:szCs w:val="21"/>
                <w:lang w:val="en-GB"/>
                <w14:textFill>
                  <w14:solidFill>
                    <w14:schemeClr w14:val="tx1"/>
                  </w14:solidFill>
                </w14:textFill>
              </w:rPr>
              <w:t xml:space="preserve">强的公关开拓能力。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素质要求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拥护党的路线、方针、政策，讲政治，顾大局，遵规守法，品行端正，诚信廉洁，作风严谨，勤奋敬业，团结合作，敢于担当，有强烈的事业心和责任感；</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具有良好的心理素质，身体健康；</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团队意识、责任感、使命感。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 xml:space="preserve"> 薪酬福利</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14:textFill>
                  <w14:solidFill>
                    <w14:schemeClr w14:val="tx1"/>
                  </w14:solidFill>
                </w14:textFill>
              </w:rPr>
              <w:t>薪酬25万元/年以上（税前），条件优异者面议；提供五险两金和补充医保；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其    他</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无法律法规规定的禁止性情形。</w:t>
            </w:r>
          </w:p>
        </w:tc>
      </w:tr>
    </w:tbl>
    <w:p/>
    <w:p/>
    <w:p/>
    <w:p/>
    <w:p/>
    <w:p/>
    <w:p/>
    <w:p/>
    <w:p/>
    <w:p/>
    <w:p/>
    <w:p>
      <w:pPr>
        <w:pStyle w:val="25"/>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财务分析部部门负责人岗位说明书</w:t>
      </w:r>
    </w:p>
    <w:tbl>
      <w:tblPr>
        <w:tblStyle w:val="27"/>
        <w:tblW w:w="100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064"/>
        <w:gridCol w:w="142"/>
        <w:gridCol w:w="567"/>
        <w:gridCol w:w="2410"/>
        <w:gridCol w:w="1843"/>
        <w:gridCol w:w="30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2" w:type="dxa"/>
            <w:gridSpan w:val="7"/>
            <w:shd w:val="clear" w:color="auto" w:fill="F2F2F2"/>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基本信息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岗位名称</w:t>
            </w:r>
          </w:p>
        </w:tc>
        <w:tc>
          <w:tcPr>
            <w:tcW w:w="3119" w:type="dxa"/>
            <w:gridSpan w:val="3"/>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部门负责人</w:t>
            </w:r>
          </w:p>
        </w:tc>
        <w:tc>
          <w:tcPr>
            <w:tcW w:w="1843" w:type="dxa"/>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岗位编号</w:t>
            </w:r>
          </w:p>
        </w:tc>
        <w:tc>
          <w:tcPr>
            <w:tcW w:w="3086" w:type="dxa"/>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所属部门</w:t>
            </w:r>
          </w:p>
        </w:tc>
        <w:tc>
          <w:tcPr>
            <w:tcW w:w="3119" w:type="dxa"/>
            <w:gridSpan w:val="3"/>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财务分析部</w:t>
            </w:r>
          </w:p>
        </w:tc>
        <w:tc>
          <w:tcPr>
            <w:tcW w:w="1843" w:type="dxa"/>
            <w:shd w:val="clear" w:color="auto" w:fill="auto"/>
            <w:tcMar>
              <w:left w:w="57" w:type="dxa"/>
              <w:right w:w="57" w:type="dxa"/>
            </w:tcMar>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岗位编制</w:t>
            </w:r>
          </w:p>
        </w:tc>
        <w:tc>
          <w:tcPr>
            <w:tcW w:w="3086" w:type="dxa"/>
            <w:shd w:val="clear" w:color="auto" w:fill="auto"/>
            <w:vAlign w:val="center"/>
          </w:tcPr>
          <w:p>
            <w:pPr>
              <w:pStyle w:val="70"/>
              <w:spacing w:after="0" w:line="288" w:lineRule="auto"/>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岗位描述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vAlign w:val="center"/>
          </w:tcPr>
          <w:p>
            <w:pPr>
              <w:pStyle w:val="70"/>
              <w:spacing w:after="0" w:line="288" w:lineRule="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根据</w:t>
            </w:r>
            <w:r>
              <w:rPr>
                <w:rFonts w:hint="eastAsia" w:ascii="Times New Roman" w:hAnsi="Times New Roman"/>
                <w:color w:val="000000" w:themeColor="text1"/>
                <w:sz w:val="21"/>
                <w:szCs w:val="21"/>
                <w14:textFill>
                  <w14:solidFill>
                    <w14:schemeClr w14:val="tx1"/>
                  </w14:solidFill>
                </w14:textFill>
              </w:rPr>
              <w:t>建投</w:t>
            </w:r>
            <w:r>
              <w:rPr>
                <w:rFonts w:ascii="Times New Roman" w:hAnsi="Times New Roman"/>
                <w:color w:val="000000" w:themeColor="text1"/>
                <w:sz w:val="21"/>
                <w:szCs w:val="21"/>
                <w14:textFill>
                  <w14:solidFill>
                    <w14:schemeClr w14:val="tx1"/>
                  </w14:solidFill>
                </w14:textFill>
              </w:rPr>
              <w:t>集团有关规定，</w:t>
            </w:r>
            <w:r>
              <w:rPr>
                <w:rFonts w:hint="eastAsia" w:ascii="Times New Roman" w:hAnsi="Times New Roman"/>
                <w:color w:val="000000" w:themeColor="text1"/>
                <w:sz w:val="21"/>
                <w:szCs w:val="21"/>
                <w14:textFill>
                  <w14:solidFill>
                    <w14:schemeClr w14:val="tx1"/>
                  </w14:solidFill>
                </w14:textFill>
              </w:rPr>
              <w:t>在上级领导的指示下，主持财务分析部全面工作。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052" w:type="dxa"/>
            <w:gridSpan w:val="7"/>
            <w:tcBorders>
              <w:bottom w:val="single" w:color="auto" w:sz="4" w:space="0"/>
            </w:tcBorders>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岗位职责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04" w:type="dxa"/>
            <w:gridSpan w:val="2"/>
            <w:tcBorders>
              <w:top w:val="single" w:color="auto" w:sz="4" w:space="0"/>
              <w:bottom w:val="single" w:color="auto" w:sz="4" w:space="0"/>
            </w:tcBorders>
            <w:shd w:val="clear" w:color="auto" w:fill="auto"/>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职责项</w:t>
            </w:r>
          </w:p>
        </w:tc>
        <w:tc>
          <w:tcPr>
            <w:tcW w:w="8048" w:type="dxa"/>
            <w:gridSpan w:val="5"/>
            <w:tcBorders>
              <w:top w:val="single" w:color="auto" w:sz="4" w:space="0"/>
              <w:bottom w:val="single" w:color="auto" w:sz="4" w:space="0"/>
            </w:tcBorders>
            <w:shd w:val="clear" w:color="auto" w:fill="auto"/>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工作任务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2004" w:type="dxa"/>
            <w:gridSpan w:val="2"/>
            <w:vMerge w:val="restart"/>
            <w:tcBorders>
              <w:top w:val="single" w:color="auto" w:sz="4" w:space="0"/>
            </w:tcBorders>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w:t>
            </w:r>
            <w:r>
              <w:rPr>
                <w:rFonts w:hint="eastAsia"/>
                <w:b/>
                <w:color w:val="000000" w:themeColor="text1"/>
                <w:szCs w:val="21"/>
                <w14:textFill>
                  <w14:solidFill>
                    <w14:schemeClr w14:val="tx1"/>
                  </w14:solidFill>
                </w14:textFill>
              </w:rPr>
              <w:t>财务</w:t>
            </w:r>
            <w:r>
              <w:rPr>
                <w:b/>
                <w:color w:val="000000" w:themeColor="text1"/>
                <w:szCs w:val="21"/>
                <w14:textFill>
                  <w14:solidFill>
                    <w14:schemeClr w14:val="tx1"/>
                  </w14:solidFill>
                </w14:textFill>
              </w:rPr>
              <w:t>管理</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7339" w:type="dxa"/>
            <w:gridSpan w:val="3"/>
            <w:vAlign w:val="center"/>
          </w:tcPr>
          <w:p>
            <w:pPr>
              <w:pStyle w:val="48"/>
              <w:tabs>
                <w:tab w:val="left" w:pos="0"/>
              </w:tabs>
              <w:adjustRightInd w:val="0"/>
              <w:snapToGrid w:val="0"/>
              <w:ind w:firstLine="0" w:firstLineChars="0"/>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根据集团公司发展战略制定中长期财务规划及近期财务计划，强化对集团公司重大决策的财务支持；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7339" w:type="dxa"/>
            <w:gridSpan w:val="3"/>
            <w:vAlign w:val="center"/>
          </w:tcPr>
          <w:p>
            <w:pPr>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负责集团公司的资金管理，负责资金的统一调度、结算，资金银行帐户的管理，维持现金流平衡；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1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组织财务预决算编制，配合审计相关工作。实施全面预算管理，组织分析评价预算执行情况，强化审计结果在财务管理与内部控制中的运用；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负责集团公司财务管理体系的建设与维护；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建立并实施固定资产管理制度与低值易耗品等资产使用登记制度，落实资产使用人员职责， 定期组织开展资产盘点；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组织开展集团公司的税务申报、纳税及筹划工作，协调与税务、银行、工商、财政、审计及其他机构的关系；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集团公司的财务运行分析，开展集团公司偿债能力、盈利能力、资产运营效率等财务指标评价，按项目开展融资成本与投资回报分析，通过数据挖掘与财务诊断，聚焦防控财务风险，形成有价值的报告供领导决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负责对接上级对集团公司的财务考核指标的完成情况的测算、跟踪，制定年度对子集团公司的考核指标分析。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w:t>
            </w:r>
            <w:r>
              <w:rPr>
                <w:b/>
                <w:color w:val="000000" w:themeColor="text1"/>
                <w:szCs w:val="21"/>
                <w14:textFill>
                  <w14:solidFill>
                    <w14:schemeClr w14:val="tx1"/>
                  </w14:solidFill>
                </w14:textFill>
              </w:rPr>
              <w:t>.内部管理</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2.1</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负责本部门的上级决议通知、指令下达及监督执行工作；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负责本部门内部队伍建设和文化建设；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2.3</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负责本部门内部员工专业能力的培养，建设发展优秀</w:t>
            </w:r>
            <w:r>
              <w:rPr>
                <w:rFonts w:hint="eastAsia"/>
                <w:color w:val="000000" w:themeColor="text1"/>
                <w:szCs w:val="21"/>
                <w14:textFill>
                  <w14:solidFill>
                    <w14:schemeClr w14:val="tx1"/>
                  </w14:solidFill>
                </w14:textFill>
              </w:rPr>
              <w:t>专业</w:t>
            </w:r>
            <w:r>
              <w:rPr>
                <w:color w:val="000000" w:themeColor="text1"/>
                <w:szCs w:val="21"/>
                <w14:textFill>
                  <w14:solidFill>
                    <w14:schemeClr w14:val="tx1"/>
                  </w14:solidFill>
                </w14:textFill>
              </w:rPr>
              <w:t>队伍；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2.4</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负责部门内部员工的业务分工、考核等管理工作；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2.5</w:t>
            </w:r>
          </w:p>
        </w:tc>
        <w:tc>
          <w:tcPr>
            <w:tcW w:w="7339" w:type="dxa"/>
            <w:gridSpan w:val="3"/>
            <w:vAlign w:val="center"/>
          </w:tcPr>
          <w:p>
            <w:pPr>
              <w:spacing w:line="288"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牵头负责部门内保密管理工作；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p>
        </w:tc>
        <w:tc>
          <w:tcPr>
            <w:tcW w:w="7339" w:type="dxa"/>
            <w:gridSpan w:val="3"/>
            <w:vAlign w:val="center"/>
          </w:tcPr>
          <w:p>
            <w:pPr>
              <w:spacing w:line="288"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指导、管理和协调所属子集团公司的财务工作。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2004" w:type="dxa"/>
            <w:gridSpan w:val="2"/>
            <w:vMerge w:val="restart"/>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其他</w:t>
            </w: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.1</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协调处理市级相关部门财务事项工作；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协调处理专项资金的申报、使用、监管等；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4" w:type="dxa"/>
            <w:gridSpan w:val="2"/>
            <w:vMerge w:val="continue"/>
            <w:vAlign w:val="center"/>
          </w:tcPr>
          <w:p>
            <w:pPr>
              <w:spacing w:line="288" w:lineRule="auto"/>
              <w:jc w:val="center"/>
              <w:rPr>
                <w:b/>
                <w:color w:val="000000" w:themeColor="text1"/>
                <w:szCs w:val="21"/>
                <w14:textFill>
                  <w14:solidFill>
                    <w14:schemeClr w14:val="tx1"/>
                  </w14:solidFill>
                </w14:textFill>
              </w:rPr>
            </w:pPr>
          </w:p>
        </w:tc>
        <w:tc>
          <w:tcPr>
            <w:tcW w:w="709" w:type="dxa"/>
            <w:gridSpan w:val="2"/>
            <w:vAlign w:val="center"/>
          </w:tcPr>
          <w:p>
            <w:pPr>
              <w:spacing w:line="288" w:lineRule="auto"/>
              <w:contextualSpacing/>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3</w:t>
            </w:r>
          </w:p>
        </w:tc>
        <w:tc>
          <w:tcPr>
            <w:tcW w:w="7339" w:type="dxa"/>
            <w:gridSpan w:val="3"/>
            <w:vAlign w:val="center"/>
          </w:tcPr>
          <w:p>
            <w:pPr>
              <w:spacing w:line="288"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完成上级领导交办的其他事项。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2" w:type="dxa"/>
            <w:gridSpan w:val="7"/>
            <w:shd w:val="clear" w:color="auto" w:fill="F2F2F2"/>
            <w:vAlign w:val="center"/>
          </w:tcPr>
          <w:p>
            <w:pPr>
              <w:widowControl/>
              <w:spacing w:line="288" w:lineRule="auto"/>
              <w:jc w:val="center"/>
              <w:rPr>
                <w:b/>
                <w:color w:val="000000" w:themeColor="text1"/>
                <w:kern w:val="0"/>
                <w:szCs w:val="21"/>
                <w:lang w:val="en-GB"/>
                <w14:textFill>
                  <w14:solidFill>
                    <w14:schemeClr w14:val="tx1"/>
                  </w14:solidFill>
                </w14:textFill>
              </w:rPr>
            </w:pPr>
            <w:r>
              <w:rPr>
                <w:b/>
                <w:color w:val="000000" w:themeColor="text1"/>
                <w:kern w:val="0"/>
                <w:szCs w:val="21"/>
                <w:lang w:val="en-GB"/>
                <w14:textFill>
                  <w14:solidFill>
                    <w14:schemeClr w14:val="tx1"/>
                  </w14:solidFill>
                </w14:textFill>
              </w:rPr>
              <w:t>岗位条件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40" w:type="dxa"/>
            <w:vMerge w:val="restart"/>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教育</w:t>
            </w:r>
          </w:p>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水平</w:t>
            </w:r>
          </w:p>
        </w:tc>
        <w:tc>
          <w:tcPr>
            <w:tcW w:w="1206" w:type="dxa"/>
            <w:gridSpan w:val="2"/>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学历</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全日制</w:t>
            </w:r>
            <w:r>
              <w:rPr>
                <w:color w:val="000000" w:themeColor="text1"/>
                <w:kern w:val="0"/>
                <w:szCs w:val="21"/>
                <w:lang w:val="en-GB"/>
                <w14:textFill>
                  <w14:solidFill>
                    <w14:schemeClr w14:val="tx1"/>
                  </w14:solidFill>
                </w14:textFill>
              </w:rPr>
              <w:t>大学本科</w:t>
            </w:r>
            <w:r>
              <w:rPr>
                <w:rFonts w:hint="eastAsia"/>
                <w:color w:val="000000" w:themeColor="text1"/>
                <w:kern w:val="0"/>
                <w:szCs w:val="21"/>
                <w:lang w:val="en-GB"/>
                <w14:textFill>
                  <w14:solidFill>
                    <w14:schemeClr w14:val="tx1"/>
                  </w14:solidFill>
                </w14:textFill>
              </w:rPr>
              <w:t>及以上，条件特别优异者可适当放宽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40" w:type="dxa"/>
            <w:vMerge w:val="continue"/>
            <w:shd w:val="clear" w:color="auto" w:fill="FFFFFF"/>
            <w:vAlign w:val="center"/>
          </w:tcPr>
          <w:p>
            <w:pPr>
              <w:spacing w:line="288" w:lineRule="auto"/>
              <w:jc w:val="center"/>
              <w:rPr>
                <w:b/>
                <w:color w:val="000000" w:themeColor="text1"/>
                <w:szCs w:val="21"/>
                <w14:textFill>
                  <w14:solidFill>
                    <w14:schemeClr w14:val="tx1"/>
                  </w14:solidFill>
                </w14:textFill>
              </w:rPr>
            </w:pPr>
          </w:p>
        </w:tc>
        <w:tc>
          <w:tcPr>
            <w:tcW w:w="1206" w:type="dxa"/>
            <w:gridSpan w:val="2"/>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专业</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ascii="宋体" w:hAnsi="宋体" w:cs="宋体"/>
                <w:color w:val="000000" w:themeColor="text1"/>
                <w:szCs w:val="20"/>
                <w:shd w:val="clear" w:color="auto" w:fill="FFFFFF"/>
                <w14:textFill>
                  <w14:solidFill>
                    <w14:schemeClr w14:val="tx1"/>
                  </w14:solidFill>
                </w14:textFill>
              </w:rPr>
              <w:t>财务管理、会计专业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工作经验</w:t>
            </w:r>
          </w:p>
        </w:tc>
        <w:tc>
          <w:tcPr>
            <w:tcW w:w="7906" w:type="dxa"/>
            <w:gridSpan w:val="4"/>
            <w:shd w:val="clear" w:color="auto" w:fill="FFFFFF"/>
            <w:vAlign w:val="center"/>
          </w:tcPr>
          <w:p>
            <w:pPr>
              <w:tabs>
                <w:tab w:val="left" w:pos="2340"/>
              </w:tabs>
              <w:spacing w:line="288" w:lineRule="auto"/>
              <w:jc w:val="left"/>
              <w:rPr>
                <w:rFonts w:ascii="宋体" w:hAnsi="宋体" w:cs="宋体"/>
                <w:color w:val="000000" w:themeColor="text1"/>
                <w:szCs w:val="20"/>
                <w:shd w:val="clear" w:color="auto" w:fill="FFFFFF"/>
                <w14:textFill>
                  <w14:solidFill>
                    <w14:schemeClr w14:val="tx1"/>
                  </w14:solidFill>
                </w14:textFill>
              </w:rPr>
            </w:pPr>
            <w:r>
              <w:rPr>
                <w:rFonts w:hint="eastAsia" w:ascii="宋体" w:hAnsi="宋体" w:cs="宋体"/>
                <w:color w:val="000000" w:themeColor="text1"/>
                <w:szCs w:val="20"/>
                <w:shd w:val="clear" w:color="auto" w:fill="FFFFFF"/>
                <w14:textFill>
                  <w14:solidFill>
                    <w14:schemeClr w14:val="tx1"/>
                  </w14:solidFill>
                </w14:textFill>
              </w:rPr>
              <w:t>在大中型国企或上市公司、会师所，具备财务管理部门5年以上负责人经历，精通财务会计、管理会计、统计、税务筹划；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资质证书</w:t>
            </w:r>
          </w:p>
        </w:tc>
        <w:tc>
          <w:tcPr>
            <w:tcW w:w="7906" w:type="dxa"/>
            <w:gridSpan w:val="4"/>
            <w:shd w:val="clear" w:color="auto" w:fill="FFFFFF"/>
            <w:vAlign w:val="center"/>
          </w:tcPr>
          <w:p>
            <w:pPr>
              <w:tabs>
                <w:tab w:val="left" w:pos="2340"/>
              </w:tabs>
              <w:spacing w:line="288" w:lineRule="auto"/>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中\高级职称并取得注册会计师资格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14:textFill>
                  <w14:solidFill>
                    <w14:schemeClr w14:val="tx1"/>
                  </w14:solidFill>
                </w14:textFill>
              </w:rPr>
              <w:t>精通</w:t>
            </w:r>
            <w:r>
              <w:rPr>
                <w:rFonts w:hint="eastAsia"/>
                <w:color w:val="000000" w:themeColor="text1"/>
                <w:kern w:val="0"/>
                <w:szCs w:val="21"/>
                <w:lang w:val="en-GB"/>
                <w14:textFill>
                  <w14:solidFill>
                    <w14:schemeClr w14:val="tx1"/>
                  </w14:solidFill>
                </w14:textFill>
              </w:rPr>
              <w:t>财务</w:t>
            </w:r>
            <w:r>
              <w:rPr>
                <w:color w:val="000000" w:themeColor="text1"/>
                <w:kern w:val="0"/>
                <w:szCs w:val="21"/>
                <w:lang w:val="en-GB"/>
                <w14:textFill>
                  <w14:solidFill>
                    <w14:schemeClr w14:val="tx1"/>
                  </w14:solidFill>
                </w14:textFill>
              </w:rPr>
              <w:t>管理专业知识；</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熟悉国家</w:t>
            </w:r>
            <w:r>
              <w:rPr>
                <w:rFonts w:hint="eastAsia"/>
                <w:color w:val="000000" w:themeColor="text1"/>
                <w:kern w:val="0"/>
                <w:szCs w:val="21"/>
                <w:lang w:val="en-GB"/>
                <w14:textFill>
                  <w14:solidFill>
                    <w14:schemeClr w14:val="tx1"/>
                  </w14:solidFill>
                </w14:textFill>
              </w:rPr>
              <w:t>财税法规、金融等相关政策</w:t>
            </w:r>
            <w:r>
              <w:rPr>
                <w:color w:val="000000" w:themeColor="text1"/>
                <w:kern w:val="0"/>
                <w:szCs w:val="21"/>
                <w:lang w:val="en-GB"/>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技能要求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掌握常用的办公软件，熟练使用电脑；</w:t>
            </w:r>
          </w:p>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精通常用的财务软件。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能力要求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具有较强的财务风险控制能力； </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14:textFill>
                  <w14:solidFill>
                    <w14:schemeClr w14:val="tx1"/>
                  </w14:solidFill>
                </w14:textFill>
              </w:rPr>
              <w:t>精通</w:t>
            </w:r>
            <w:r>
              <w:rPr>
                <w:color w:val="000000" w:themeColor="text1"/>
                <w:kern w:val="0"/>
                <w:szCs w:val="21"/>
                <w:lang w:val="en-GB"/>
                <w14:textFill>
                  <w14:solidFill>
                    <w14:schemeClr w14:val="tx1"/>
                  </w14:solidFill>
                </w14:textFill>
              </w:rPr>
              <w:t>履行岗位职责所必需的专业知识和能力</w:t>
            </w:r>
            <w:r>
              <w:rPr>
                <w:rFonts w:hint="eastAsia"/>
                <w:color w:val="000000" w:themeColor="text1"/>
                <w:kern w:val="0"/>
                <w:szCs w:val="21"/>
                <w:lang w:val="en-GB"/>
                <w14:textFill>
                  <w14:solidFill>
                    <w14:schemeClr w14:val="tx1"/>
                  </w14:solidFill>
                </w14:textFill>
              </w:rPr>
              <w:t>；</w:t>
            </w:r>
          </w:p>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lang w:val="en-GB"/>
                <w14:textFill>
                  <w14:solidFill>
                    <w14:schemeClr w14:val="tx1"/>
                  </w14:solidFill>
                </w14:textFill>
              </w:rPr>
              <w:t>原则性强，</w:t>
            </w:r>
            <w:r>
              <w:rPr>
                <w:color w:val="000000" w:themeColor="text1"/>
                <w:kern w:val="0"/>
                <w:szCs w:val="21"/>
                <w:lang w:val="en-GB"/>
                <w14:textFill>
                  <w14:solidFill>
                    <w14:schemeClr w14:val="tx1"/>
                  </w14:solidFill>
                </w14:textFill>
              </w:rPr>
              <w:t>有良好的分析能力</w:t>
            </w:r>
            <w:r>
              <w:rPr>
                <w:rFonts w:hint="eastAsia"/>
                <w:color w:val="000000" w:themeColor="text1"/>
                <w:kern w:val="0"/>
                <w:szCs w:val="21"/>
                <w:lang w:val="en-GB"/>
                <w14:textFill>
                  <w14:solidFill>
                    <w14:schemeClr w14:val="tx1"/>
                  </w14:solidFill>
                </w14:textFill>
              </w:rPr>
              <w:t>、沟通能力</w:t>
            </w:r>
            <w:r>
              <w:rPr>
                <w:color w:val="000000" w:themeColor="text1"/>
                <w:kern w:val="0"/>
                <w:szCs w:val="21"/>
                <w:lang w:val="en-GB"/>
                <w14:textFill>
                  <w14:solidFill>
                    <w14:schemeClr w14:val="tx1"/>
                  </w14:solidFill>
                </w14:textFill>
              </w:rPr>
              <w:t>和判断能力；</w:t>
            </w:r>
          </w:p>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14:textFill>
                  <w14:solidFill>
                    <w14:schemeClr w14:val="tx1"/>
                  </w14:solidFill>
                </w14:textFill>
              </w:rPr>
              <w:t>具备较强</w:t>
            </w:r>
            <w:r>
              <w:rPr>
                <w:rFonts w:hint="eastAsia"/>
                <w:color w:val="000000" w:themeColor="text1"/>
                <w:kern w:val="0"/>
                <w:szCs w:val="21"/>
                <w:lang w:val="en-GB"/>
                <w14:textFill>
                  <w14:solidFill>
                    <w14:schemeClr w14:val="tx1"/>
                  </w14:solidFill>
                </w14:textFill>
              </w:rPr>
              <w:t>的</w:t>
            </w:r>
            <w:r>
              <w:rPr>
                <w:rFonts w:hint="eastAsia"/>
                <w:color w:val="000000" w:themeColor="text1"/>
                <w:kern w:val="0"/>
                <w:szCs w:val="21"/>
                <w14:textFill>
                  <w14:solidFill>
                    <w14:schemeClr w14:val="tx1"/>
                  </w14:solidFill>
                </w14:textFill>
              </w:rPr>
              <w:t>文字功底</w:t>
            </w:r>
            <w:r>
              <w:rPr>
                <w:rFonts w:hint="eastAsia"/>
                <w:color w:val="000000" w:themeColor="text1"/>
                <w:kern w:val="0"/>
                <w:szCs w:val="21"/>
                <w:lang w:val="en-GB"/>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素质要求</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拥护党的路线、方针、政策，讲政治，顾大局，遵规守法，品行端正，诚信廉洁，作风严谨，勤奋敬业，团结合作，敢于担当，有强烈的事业心和责任感；</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具有良好的心理素质，身体健康；</w:t>
            </w:r>
          </w:p>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团队意识、责任感、使命感。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 xml:space="preserve"> 薪酬福利</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rFonts w:hint="eastAsia"/>
                <w:color w:val="000000" w:themeColor="text1"/>
                <w:kern w:val="0"/>
                <w:szCs w:val="21"/>
                <w14:textFill>
                  <w14:solidFill>
                    <w14:schemeClr w14:val="tx1"/>
                  </w14:solidFill>
                </w14:textFill>
              </w:rPr>
              <w:t>薪酬25万元/年以上（税前），条件优异者面议；提供五险两金和补充医保；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46" w:type="dxa"/>
            <w:gridSpan w:val="3"/>
            <w:shd w:val="clear" w:color="auto" w:fill="FFFFFF"/>
            <w:vAlign w:val="center"/>
          </w:tcPr>
          <w:p>
            <w:pPr>
              <w:spacing w:line="288"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其    他</w:t>
            </w:r>
          </w:p>
        </w:tc>
        <w:tc>
          <w:tcPr>
            <w:tcW w:w="7906" w:type="dxa"/>
            <w:gridSpan w:val="4"/>
            <w:shd w:val="clear" w:color="auto" w:fill="FFFFFF"/>
            <w:vAlign w:val="center"/>
          </w:tcPr>
          <w:p>
            <w:pPr>
              <w:tabs>
                <w:tab w:val="left" w:pos="2340"/>
              </w:tabs>
              <w:spacing w:line="288" w:lineRule="auto"/>
              <w:jc w:val="left"/>
              <w:rPr>
                <w:color w:val="000000" w:themeColor="text1"/>
                <w:kern w:val="0"/>
                <w:szCs w:val="21"/>
                <w:lang w:val="en-GB"/>
                <w14:textFill>
                  <w14:solidFill>
                    <w14:schemeClr w14:val="tx1"/>
                  </w14:solidFill>
                </w14:textFill>
              </w:rPr>
            </w:pPr>
            <w:r>
              <w:rPr>
                <w:color w:val="000000" w:themeColor="text1"/>
                <w:kern w:val="0"/>
                <w:szCs w:val="21"/>
                <w:lang w:val="en-GB"/>
                <w14:textFill>
                  <w14:solidFill>
                    <w14:schemeClr w14:val="tx1"/>
                  </w14:solidFill>
                </w14:textFill>
              </w:rPr>
              <w:t>无法律法规规定的禁止性情形。</w:t>
            </w: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widowControl/>
        <w:jc w:val="left"/>
        <w:rPr>
          <w:b/>
          <w:bCs/>
          <w:color w:val="000000" w:themeColor="text1"/>
          <w:sz w:val="32"/>
          <w:szCs w:val="32"/>
          <w14:textFill>
            <w14:solidFill>
              <w14:schemeClr w14:val="tx1"/>
            </w14:solidFill>
          </w14:textFill>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
    <w:altName w:val="黑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0" w:usb3="00000000" w:csb0="00000001" w:csb1="00000000"/>
  </w:font>
  <w:font w:name="方正仿宋_GBK">
    <w:altName w:val="微软雅黑"/>
    <w:panose1 w:val="00000000000000000000"/>
    <w:charset w:val="86"/>
    <w:family w:val="script"/>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10A52"/>
    <w:multiLevelType w:val="multilevel"/>
    <w:tmpl w:val="52110A52"/>
    <w:lvl w:ilvl="0" w:tentative="0">
      <w:start w:val="1"/>
      <w:numFmt w:val="decimal"/>
      <w:suff w:val="nothing"/>
      <w:lvlText w:val="%1."/>
      <w:lvlJc w:val="left"/>
      <w:pPr>
        <w:ind w:left="1270" w:hanging="420"/>
      </w:pPr>
      <w:rPr>
        <w:rFonts w:hint="eastAsia"/>
        <w:b/>
      </w:rPr>
    </w:lvl>
    <w:lvl w:ilvl="1" w:tentative="0">
      <w:start w:val="1"/>
      <w:numFmt w:val="lowerLetter"/>
      <w:lvlText w:val="%2)"/>
      <w:lvlJc w:val="left"/>
      <w:pPr>
        <w:ind w:left="1690" w:hanging="420"/>
      </w:pPr>
    </w:lvl>
    <w:lvl w:ilvl="2" w:tentative="0">
      <w:start w:val="1"/>
      <w:numFmt w:val="lowerRoman"/>
      <w:lvlText w:val="%3."/>
      <w:lvlJc w:val="right"/>
      <w:pPr>
        <w:ind w:left="2110" w:hanging="420"/>
      </w:pPr>
    </w:lvl>
    <w:lvl w:ilvl="3" w:tentative="0">
      <w:start w:val="1"/>
      <w:numFmt w:val="decimal"/>
      <w:lvlText w:val="%4."/>
      <w:lvlJc w:val="left"/>
      <w:pPr>
        <w:ind w:left="2530" w:hanging="420"/>
      </w:pPr>
    </w:lvl>
    <w:lvl w:ilvl="4" w:tentative="0">
      <w:start w:val="1"/>
      <w:numFmt w:val="lowerLetter"/>
      <w:lvlText w:val="%5)"/>
      <w:lvlJc w:val="left"/>
      <w:pPr>
        <w:ind w:left="2950" w:hanging="420"/>
      </w:pPr>
    </w:lvl>
    <w:lvl w:ilvl="5" w:tentative="0">
      <w:start w:val="1"/>
      <w:numFmt w:val="lowerRoman"/>
      <w:lvlText w:val="%6."/>
      <w:lvlJc w:val="right"/>
      <w:pPr>
        <w:ind w:left="3370" w:hanging="420"/>
      </w:pPr>
    </w:lvl>
    <w:lvl w:ilvl="6" w:tentative="0">
      <w:start w:val="1"/>
      <w:numFmt w:val="decimal"/>
      <w:lvlText w:val="%7."/>
      <w:lvlJc w:val="left"/>
      <w:pPr>
        <w:ind w:left="3790" w:hanging="420"/>
      </w:pPr>
    </w:lvl>
    <w:lvl w:ilvl="7" w:tentative="0">
      <w:start w:val="1"/>
      <w:numFmt w:val="lowerLetter"/>
      <w:lvlText w:val="%8)"/>
      <w:lvlJc w:val="left"/>
      <w:pPr>
        <w:ind w:left="4210" w:hanging="420"/>
      </w:pPr>
    </w:lvl>
    <w:lvl w:ilvl="8" w:tentative="0">
      <w:start w:val="1"/>
      <w:numFmt w:val="lowerRoman"/>
      <w:lvlText w:val="%9."/>
      <w:lvlJc w:val="right"/>
      <w:pPr>
        <w:ind w:left="463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99A"/>
    <w:rsid w:val="0000189B"/>
    <w:rsid w:val="00022061"/>
    <w:rsid w:val="00040412"/>
    <w:rsid w:val="00056BB1"/>
    <w:rsid w:val="00077467"/>
    <w:rsid w:val="00084E61"/>
    <w:rsid w:val="00092CDF"/>
    <w:rsid w:val="000F464B"/>
    <w:rsid w:val="000F584D"/>
    <w:rsid w:val="001066F4"/>
    <w:rsid w:val="0012313A"/>
    <w:rsid w:val="00135688"/>
    <w:rsid w:val="00136158"/>
    <w:rsid w:val="00157D3D"/>
    <w:rsid w:val="00160F1A"/>
    <w:rsid w:val="0017659E"/>
    <w:rsid w:val="00196CE5"/>
    <w:rsid w:val="001A2280"/>
    <w:rsid w:val="001B7E36"/>
    <w:rsid w:val="00212E65"/>
    <w:rsid w:val="0021534F"/>
    <w:rsid w:val="00226B12"/>
    <w:rsid w:val="00236EF6"/>
    <w:rsid w:val="00242072"/>
    <w:rsid w:val="00245335"/>
    <w:rsid w:val="0025495A"/>
    <w:rsid w:val="00255B91"/>
    <w:rsid w:val="002626A8"/>
    <w:rsid w:val="002733E5"/>
    <w:rsid w:val="002742E6"/>
    <w:rsid w:val="00295D9F"/>
    <w:rsid w:val="002A400D"/>
    <w:rsid w:val="002D0C71"/>
    <w:rsid w:val="002D11F4"/>
    <w:rsid w:val="002D3FD8"/>
    <w:rsid w:val="002D75B9"/>
    <w:rsid w:val="002E65C5"/>
    <w:rsid w:val="003018EB"/>
    <w:rsid w:val="0030290D"/>
    <w:rsid w:val="00303E88"/>
    <w:rsid w:val="00304A67"/>
    <w:rsid w:val="003346AF"/>
    <w:rsid w:val="00340FA5"/>
    <w:rsid w:val="00342AC8"/>
    <w:rsid w:val="0036165D"/>
    <w:rsid w:val="00376434"/>
    <w:rsid w:val="00392670"/>
    <w:rsid w:val="00395D43"/>
    <w:rsid w:val="003A6272"/>
    <w:rsid w:val="003C655E"/>
    <w:rsid w:val="003D6375"/>
    <w:rsid w:val="003F041E"/>
    <w:rsid w:val="003F26A2"/>
    <w:rsid w:val="00404584"/>
    <w:rsid w:val="004207E5"/>
    <w:rsid w:val="00421346"/>
    <w:rsid w:val="00431E15"/>
    <w:rsid w:val="00437BF8"/>
    <w:rsid w:val="004467AB"/>
    <w:rsid w:val="00477D94"/>
    <w:rsid w:val="00492A25"/>
    <w:rsid w:val="00496B3C"/>
    <w:rsid w:val="004A77E7"/>
    <w:rsid w:val="004B3BB5"/>
    <w:rsid w:val="004D1E8C"/>
    <w:rsid w:val="004D41D6"/>
    <w:rsid w:val="00524143"/>
    <w:rsid w:val="00524A61"/>
    <w:rsid w:val="005411B0"/>
    <w:rsid w:val="00574E25"/>
    <w:rsid w:val="005971ED"/>
    <w:rsid w:val="005A2D70"/>
    <w:rsid w:val="005B5199"/>
    <w:rsid w:val="005D431E"/>
    <w:rsid w:val="005D7447"/>
    <w:rsid w:val="005E3745"/>
    <w:rsid w:val="005F05F2"/>
    <w:rsid w:val="005F343E"/>
    <w:rsid w:val="005F6C2F"/>
    <w:rsid w:val="00602F71"/>
    <w:rsid w:val="00607A74"/>
    <w:rsid w:val="0061497D"/>
    <w:rsid w:val="00637B0D"/>
    <w:rsid w:val="0064115F"/>
    <w:rsid w:val="00662620"/>
    <w:rsid w:val="00681223"/>
    <w:rsid w:val="00686C11"/>
    <w:rsid w:val="006B2649"/>
    <w:rsid w:val="006B70E3"/>
    <w:rsid w:val="006C0C5C"/>
    <w:rsid w:val="006C2499"/>
    <w:rsid w:val="006C5863"/>
    <w:rsid w:val="006D47C0"/>
    <w:rsid w:val="006F178D"/>
    <w:rsid w:val="006F45A2"/>
    <w:rsid w:val="00705DF5"/>
    <w:rsid w:val="00727D13"/>
    <w:rsid w:val="00733D87"/>
    <w:rsid w:val="007411AB"/>
    <w:rsid w:val="00746122"/>
    <w:rsid w:val="007676F7"/>
    <w:rsid w:val="007703E8"/>
    <w:rsid w:val="007A02DD"/>
    <w:rsid w:val="007A376D"/>
    <w:rsid w:val="007A68C6"/>
    <w:rsid w:val="007B7FD6"/>
    <w:rsid w:val="007D03E8"/>
    <w:rsid w:val="007D62CC"/>
    <w:rsid w:val="007E311E"/>
    <w:rsid w:val="007E753B"/>
    <w:rsid w:val="0081095A"/>
    <w:rsid w:val="0082042D"/>
    <w:rsid w:val="0083304A"/>
    <w:rsid w:val="008463F4"/>
    <w:rsid w:val="008629F3"/>
    <w:rsid w:val="008A420C"/>
    <w:rsid w:val="008B63EC"/>
    <w:rsid w:val="008D3EFC"/>
    <w:rsid w:val="008E3285"/>
    <w:rsid w:val="00904C14"/>
    <w:rsid w:val="00917A25"/>
    <w:rsid w:val="00922C2E"/>
    <w:rsid w:val="00923CCB"/>
    <w:rsid w:val="00924E47"/>
    <w:rsid w:val="009337AF"/>
    <w:rsid w:val="009456FF"/>
    <w:rsid w:val="00953F8D"/>
    <w:rsid w:val="0096233F"/>
    <w:rsid w:val="0096241B"/>
    <w:rsid w:val="00966E7F"/>
    <w:rsid w:val="00993865"/>
    <w:rsid w:val="0099519D"/>
    <w:rsid w:val="00997611"/>
    <w:rsid w:val="009A0C25"/>
    <w:rsid w:val="009B0492"/>
    <w:rsid w:val="009C21BF"/>
    <w:rsid w:val="009D3426"/>
    <w:rsid w:val="009F4C99"/>
    <w:rsid w:val="00A04814"/>
    <w:rsid w:val="00A04B1B"/>
    <w:rsid w:val="00A04FA0"/>
    <w:rsid w:val="00A10743"/>
    <w:rsid w:val="00A15C22"/>
    <w:rsid w:val="00A2284E"/>
    <w:rsid w:val="00A26080"/>
    <w:rsid w:val="00A26B96"/>
    <w:rsid w:val="00A326C4"/>
    <w:rsid w:val="00A46594"/>
    <w:rsid w:val="00A469BD"/>
    <w:rsid w:val="00A75119"/>
    <w:rsid w:val="00A92CAA"/>
    <w:rsid w:val="00AB362C"/>
    <w:rsid w:val="00AB3A46"/>
    <w:rsid w:val="00AC3ECD"/>
    <w:rsid w:val="00AC74F8"/>
    <w:rsid w:val="00AD63AE"/>
    <w:rsid w:val="00AE57C4"/>
    <w:rsid w:val="00B02937"/>
    <w:rsid w:val="00B0471C"/>
    <w:rsid w:val="00B1194C"/>
    <w:rsid w:val="00B13AF9"/>
    <w:rsid w:val="00B2034A"/>
    <w:rsid w:val="00B21C3E"/>
    <w:rsid w:val="00B35E82"/>
    <w:rsid w:val="00B40299"/>
    <w:rsid w:val="00B46513"/>
    <w:rsid w:val="00B62E8D"/>
    <w:rsid w:val="00B65867"/>
    <w:rsid w:val="00B71D7A"/>
    <w:rsid w:val="00B770C7"/>
    <w:rsid w:val="00B83207"/>
    <w:rsid w:val="00BB4695"/>
    <w:rsid w:val="00BB78FF"/>
    <w:rsid w:val="00BD1987"/>
    <w:rsid w:val="00BD3DF9"/>
    <w:rsid w:val="00BF5EE2"/>
    <w:rsid w:val="00BF748A"/>
    <w:rsid w:val="00BF74AD"/>
    <w:rsid w:val="00C46752"/>
    <w:rsid w:val="00C65388"/>
    <w:rsid w:val="00C674AE"/>
    <w:rsid w:val="00C80F42"/>
    <w:rsid w:val="00C82753"/>
    <w:rsid w:val="00C8785E"/>
    <w:rsid w:val="00C903D7"/>
    <w:rsid w:val="00C93C9B"/>
    <w:rsid w:val="00CA07CD"/>
    <w:rsid w:val="00CA133A"/>
    <w:rsid w:val="00CA2881"/>
    <w:rsid w:val="00CC0962"/>
    <w:rsid w:val="00CE0EBB"/>
    <w:rsid w:val="00CF594C"/>
    <w:rsid w:val="00D01B9B"/>
    <w:rsid w:val="00D01E8D"/>
    <w:rsid w:val="00D03B9C"/>
    <w:rsid w:val="00D042AC"/>
    <w:rsid w:val="00D270C1"/>
    <w:rsid w:val="00D50217"/>
    <w:rsid w:val="00D52514"/>
    <w:rsid w:val="00D66834"/>
    <w:rsid w:val="00D7792B"/>
    <w:rsid w:val="00DA2319"/>
    <w:rsid w:val="00DA5700"/>
    <w:rsid w:val="00DC0AFF"/>
    <w:rsid w:val="00DC5FBA"/>
    <w:rsid w:val="00DE5955"/>
    <w:rsid w:val="00DF4521"/>
    <w:rsid w:val="00E00967"/>
    <w:rsid w:val="00E1463F"/>
    <w:rsid w:val="00E15199"/>
    <w:rsid w:val="00E17DF2"/>
    <w:rsid w:val="00E2678C"/>
    <w:rsid w:val="00E3270A"/>
    <w:rsid w:val="00E44253"/>
    <w:rsid w:val="00E44B3D"/>
    <w:rsid w:val="00E90F77"/>
    <w:rsid w:val="00EA1FC6"/>
    <w:rsid w:val="00EB3813"/>
    <w:rsid w:val="00EB39D3"/>
    <w:rsid w:val="00EC299A"/>
    <w:rsid w:val="00F10751"/>
    <w:rsid w:val="00F11345"/>
    <w:rsid w:val="00F20AFC"/>
    <w:rsid w:val="00F20ECE"/>
    <w:rsid w:val="00F232C0"/>
    <w:rsid w:val="00F255E7"/>
    <w:rsid w:val="00F54AAA"/>
    <w:rsid w:val="00F66DB5"/>
    <w:rsid w:val="00F822F2"/>
    <w:rsid w:val="00F864ED"/>
    <w:rsid w:val="00F973D6"/>
    <w:rsid w:val="00FA4974"/>
    <w:rsid w:val="00FB5840"/>
    <w:rsid w:val="00FC156A"/>
    <w:rsid w:val="00FD026B"/>
    <w:rsid w:val="00FD320C"/>
    <w:rsid w:val="00FE7C17"/>
    <w:rsid w:val="00FF17E4"/>
    <w:rsid w:val="018755CC"/>
    <w:rsid w:val="036E7801"/>
    <w:rsid w:val="039D5AE9"/>
    <w:rsid w:val="03E80B85"/>
    <w:rsid w:val="045409E1"/>
    <w:rsid w:val="04FF77CB"/>
    <w:rsid w:val="065D3D8D"/>
    <w:rsid w:val="06930334"/>
    <w:rsid w:val="08B1198D"/>
    <w:rsid w:val="09E869C4"/>
    <w:rsid w:val="0AD95FB6"/>
    <w:rsid w:val="0AE709A8"/>
    <w:rsid w:val="0AEA5267"/>
    <w:rsid w:val="0BCE36C1"/>
    <w:rsid w:val="10BD7AB6"/>
    <w:rsid w:val="12823C7F"/>
    <w:rsid w:val="12C53A89"/>
    <w:rsid w:val="1462132E"/>
    <w:rsid w:val="179F6A9C"/>
    <w:rsid w:val="1EA443C1"/>
    <w:rsid w:val="20453018"/>
    <w:rsid w:val="2141018A"/>
    <w:rsid w:val="21A84E4E"/>
    <w:rsid w:val="23667B43"/>
    <w:rsid w:val="2371069B"/>
    <w:rsid w:val="23C27996"/>
    <w:rsid w:val="24A32186"/>
    <w:rsid w:val="24BF4700"/>
    <w:rsid w:val="24FD2D2E"/>
    <w:rsid w:val="266E17ED"/>
    <w:rsid w:val="26EE3D21"/>
    <w:rsid w:val="273F2165"/>
    <w:rsid w:val="296E2308"/>
    <w:rsid w:val="2C2562B9"/>
    <w:rsid w:val="2F011772"/>
    <w:rsid w:val="2FAD082B"/>
    <w:rsid w:val="2FAF2C30"/>
    <w:rsid w:val="31A21646"/>
    <w:rsid w:val="32A051F2"/>
    <w:rsid w:val="33B178D9"/>
    <w:rsid w:val="3561047F"/>
    <w:rsid w:val="38026242"/>
    <w:rsid w:val="38257F6F"/>
    <w:rsid w:val="38BA3B18"/>
    <w:rsid w:val="39BE568D"/>
    <w:rsid w:val="3C502EAF"/>
    <w:rsid w:val="3CE40B31"/>
    <w:rsid w:val="3E22620C"/>
    <w:rsid w:val="40C37811"/>
    <w:rsid w:val="417321C8"/>
    <w:rsid w:val="43871EEE"/>
    <w:rsid w:val="43C1613E"/>
    <w:rsid w:val="453766E7"/>
    <w:rsid w:val="455E2162"/>
    <w:rsid w:val="456D59FD"/>
    <w:rsid w:val="45AA751C"/>
    <w:rsid w:val="473951D0"/>
    <w:rsid w:val="485A7669"/>
    <w:rsid w:val="494C1478"/>
    <w:rsid w:val="4A161D64"/>
    <w:rsid w:val="4D081DC3"/>
    <w:rsid w:val="4EFF3A2F"/>
    <w:rsid w:val="500D1C7D"/>
    <w:rsid w:val="50873F4E"/>
    <w:rsid w:val="54270201"/>
    <w:rsid w:val="56AF1E68"/>
    <w:rsid w:val="56D27CF7"/>
    <w:rsid w:val="581F3184"/>
    <w:rsid w:val="5AF24D32"/>
    <w:rsid w:val="5BB53F46"/>
    <w:rsid w:val="5CD60A02"/>
    <w:rsid w:val="604518FD"/>
    <w:rsid w:val="60AA1779"/>
    <w:rsid w:val="61974413"/>
    <w:rsid w:val="638924A8"/>
    <w:rsid w:val="64444B82"/>
    <w:rsid w:val="64455FAD"/>
    <w:rsid w:val="66E67FA0"/>
    <w:rsid w:val="690263A6"/>
    <w:rsid w:val="6C7B4F2D"/>
    <w:rsid w:val="6E370E49"/>
    <w:rsid w:val="70065186"/>
    <w:rsid w:val="7076641D"/>
    <w:rsid w:val="72DC4F5F"/>
    <w:rsid w:val="737270B1"/>
    <w:rsid w:val="748F16E6"/>
    <w:rsid w:val="74C2422D"/>
    <w:rsid w:val="74F9696A"/>
    <w:rsid w:val="767410A9"/>
    <w:rsid w:val="76DC1457"/>
    <w:rsid w:val="7708314F"/>
    <w:rsid w:val="78E32D6C"/>
    <w:rsid w:val="7DF255EF"/>
    <w:rsid w:val="7E482346"/>
    <w:rsid w:val="7F9610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0"/>
    <w:pPr>
      <w:keepNext/>
      <w:keepLines/>
      <w:spacing w:line="600" w:lineRule="exact"/>
      <w:ind w:firstLine="200" w:firstLineChars="200"/>
      <w:jc w:val="left"/>
      <w:outlineLvl w:val="0"/>
    </w:pPr>
    <w:rPr>
      <w:rFonts w:eastAsia="方正黑体"/>
      <w:bCs/>
      <w:kern w:val="0"/>
      <w:sz w:val="32"/>
      <w:szCs w:val="44"/>
    </w:rPr>
  </w:style>
  <w:style w:type="paragraph" w:styleId="3">
    <w:name w:val="heading 2"/>
    <w:basedOn w:val="1"/>
    <w:next w:val="1"/>
    <w:link w:val="55"/>
    <w:unhideWhenUsed/>
    <w:qFormat/>
    <w:uiPriority w:val="0"/>
    <w:pPr>
      <w:keepNext/>
      <w:keepLines/>
      <w:spacing w:before="140" w:after="140" w:line="360" w:lineRule="auto"/>
      <w:outlineLvl w:val="1"/>
    </w:pPr>
    <w:rPr>
      <w:rFonts w:ascii="Cambria" w:hAnsi="Cambria"/>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rPr>
      <w:rFonts w:ascii="Calibri" w:hAnsi="Calibri"/>
      <w:szCs w:val="22"/>
    </w:rPr>
  </w:style>
  <w:style w:type="paragraph" w:styleId="6">
    <w:name w:val="Normal Indent"/>
    <w:basedOn w:val="1"/>
    <w:link w:val="58"/>
    <w:qFormat/>
    <w:uiPriority w:val="0"/>
    <w:pPr>
      <w:spacing w:line="360" w:lineRule="auto"/>
      <w:ind w:firstLine="420"/>
    </w:pPr>
    <w:rPr>
      <w:rFonts w:asciiTheme="minorHAnsi" w:hAnsiTheme="minorHAnsi" w:eastAsiaTheme="minorEastAsia" w:cstheme="minorBidi"/>
      <w:sz w:val="24"/>
      <w:szCs w:val="22"/>
    </w:rPr>
  </w:style>
  <w:style w:type="paragraph" w:styleId="7">
    <w:name w:val="Document Map"/>
    <w:basedOn w:val="1"/>
    <w:link w:val="47"/>
    <w:qFormat/>
    <w:uiPriority w:val="0"/>
    <w:pPr>
      <w:shd w:val="clear" w:color="auto" w:fill="000080"/>
    </w:pPr>
  </w:style>
  <w:style w:type="paragraph" w:styleId="8">
    <w:name w:val="annotation text"/>
    <w:basedOn w:val="1"/>
    <w:link w:val="67"/>
    <w:qFormat/>
    <w:uiPriority w:val="0"/>
    <w:pPr>
      <w:jc w:val="left"/>
    </w:pPr>
  </w:style>
  <w:style w:type="paragraph" w:styleId="9">
    <w:name w:val="Body Text Indent"/>
    <w:basedOn w:val="1"/>
    <w:link w:val="51"/>
    <w:qFormat/>
    <w:uiPriority w:val="0"/>
    <w:pPr>
      <w:spacing w:line="480" w:lineRule="exact"/>
      <w:ind w:firstLine="480" w:firstLineChars="200"/>
    </w:pPr>
    <w:rPr>
      <w:rFonts w:ascii="宋体" w:hAnsi="宋体"/>
      <w:sz w:val="24"/>
    </w:rPr>
  </w:style>
  <w:style w:type="paragraph" w:styleId="10">
    <w:name w:val="toc 5"/>
    <w:basedOn w:val="1"/>
    <w:next w:val="1"/>
    <w:unhideWhenUsed/>
    <w:qFormat/>
    <w:uiPriority w:val="39"/>
    <w:pPr>
      <w:ind w:left="1680" w:leftChars="800"/>
    </w:pPr>
    <w:rPr>
      <w:rFonts w:ascii="Calibri" w:hAnsi="Calibri"/>
      <w:szCs w:val="22"/>
    </w:rPr>
  </w:style>
  <w:style w:type="paragraph" w:styleId="11">
    <w:name w:val="toc 3"/>
    <w:basedOn w:val="1"/>
    <w:next w:val="1"/>
    <w:unhideWhenUsed/>
    <w:qFormat/>
    <w:uiPriority w:val="39"/>
    <w:pPr>
      <w:ind w:left="840" w:leftChars="400"/>
    </w:pPr>
    <w:rPr>
      <w:rFonts w:ascii="Calibri" w:hAnsi="Calibri"/>
      <w:szCs w:val="22"/>
    </w:rPr>
  </w:style>
  <w:style w:type="paragraph" w:styleId="12">
    <w:name w:val="Plain Text"/>
    <w:basedOn w:val="1"/>
    <w:link w:val="72"/>
    <w:qFormat/>
    <w:uiPriority w:val="99"/>
    <w:rPr>
      <w:rFonts w:ascii="宋体" w:hAnsi="Courier New"/>
      <w:kern w:val="0"/>
      <w:szCs w:val="21"/>
    </w:rPr>
  </w:style>
  <w:style w:type="paragraph" w:styleId="13">
    <w:name w:val="toc 8"/>
    <w:basedOn w:val="1"/>
    <w:next w:val="1"/>
    <w:unhideWhenUsed/>
    <w:qFormat/>
    <w:uiPriority w:val="39"/>
    <w:pPr>
      <w:ind w:left="2940" w:leftChars="1400"/>
    </w:pPr>
    <w:rPr>
      <w:rFonts w:ascii="Calibri" w:hAnsi="Calibri"/>
      <w:szCs w:val="22"/>
    </w:rPr>
  </w:style>
  <w:style w:type="paragraph" w:styleId="14">
    <w:name w:val="Date"/>
    <w:basedOn w:val="1"/>
    <w:next w:val="1"/>
    <w:link w:val="38"/>
    <w:qFormat/>
    <w:uiPriority w:val="99"/>
    <w:pPr>
      <w:ind w:left="100" w:leftChars="2500"/>
    </w:pPr>
  </w:style>
  <w:style w:type="paragraph" w:styleId="15">
    <w:name w:val="Balloon Text"/>
    <w:basedOn w:val="1"/>
    <w:link w:val="39"/>
    <w:qFormat/>
    <w:uiPriority w:val="0"/>
    <w:rPr>
      <w:sz w:val="18"/>
      <w:szCs w:val="18"/>
    </w:rPr>
  </w:style>
  <w:style w:type="paragraph" w:styleId="16">
    <w:name w:val="footer"/>
    <w:basedOn w:val="1"/>
    <w:link w:val="34"/>
    <w:unhideWhenUsed/>
    <w:qFormat/>
    <w:uiPriority w:val="99"/>
    <w:pPr>
      <w:tabs>
        <w:tab w:val="center" w:pos="4153"/>
        <w:tab w:val="right" w:pos="8306"/>
      </w:tabs>
      <w:snapToGrid w:val="0"/>
      <w:jc w:val="left"/>
    </w:pPr>
    <w:rPr>
      <w:sz w:val="18"/>
      <w:szCs w:val="18"/>
    </w:rPr>
  </w:style>
  <w:style w:type="paragraph" w:styleId="17">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tabs>
        <w:tab w:val="right" w:leader="dot" w:pos="9174"/>
      </w:tabs>
      <w:jc w:val="center"/>
    </w:pPr>
    <w:rPr>
      <w:rFonts w:ascii="华文细黑" w:hAnsi="华文细黑" w:eastAsia="华文细黑"/>
    </w:rPr>
  </w:style>
  <w:style w:type="paragraph" w:styleId="19">
    <w:name w:val="toc 4"/>
    <w:basedOn w:val="1"/>
    <w:next w:val="1"/>
    <w:unhideWhenUsed/>
    <w:qFormat/>
    <w:uiPriority w:val="39"/>
    <w:pPr>
      <w:ind w:left="1260" w:leftChars="600"/>
    </w:pPr>
    <w:rPr>
      <w:rFonts w:ascii="Calibri" w:hAnsi="Calibri"/>
      <w:szCs w:val="22"/>
    </w:rPr>
  </w:style>
  <w:style w:type="paragraph" w:styleId="20">
    <w:name w:val="toc 6"/>
    <w:basedOn w:val="1"/>
    <w:next w:val="1"/>
    <w:unhideWhenUsed/>
    <w:qFormat/>
    <w:uiPriority w:val="39"/>
    <w:pPr>
      <w:ind w:left="2100" w:leftChars="1000"/>
    </w:pPr>
    <w:rPr>
      <w:rFonts w:ascii="Calibri" w:hAnsi="Calibri"/>
      <w:szCs w:val="22"/>
    </w:rPr>
  </w:style>
  <w:style w:type="paragraph" w:styleId="21">
    <w:name w:val="toc 2"/>
    <w:basedOn w:val="1"/>
    <w:next w:val="1"/>
    <w:unhideWhenUsed/>
    <w:qFormat/>
    <w:uiPriority w:val="39"/>
    <w:pPr>
      <w:tabs>
        <w:tab w:val="left" w:pos="840"/>
        <w:tab w:val="right" w:leader="dot" w:pos="9174"/>
      </w:tabs>
      <w:ind w:left="420" w:leftChars="200"/>
    </w:pPr>
  </w:style>
  <w:style w:type="paragraph" w:styleId="22">
    <w:name w:val="toc 9"/>
    <w:basedOn w:val="1"/>
    <w:next w:val="1"/>
    <w:unhideWhenUsed/>
    <w:qFormat/>
    <w:uiPriority w:val="39"/>
    <w:pPr>
      <w:ind w:left="3360" w:leftChars="1600"/>
    </w:pPr>
    <w:rPr>
      <w:rFonts w:ascii="Calibri" w:hAnsi="Calibri"/>
      <w:szCs w:val="22"/>
    </w:rPr>
  </w:style>
  <w:style w:type="paragraph" w:styleId="23">
    <w:name w:val="HTML Preformatted"/>
    <w:basedOn w:val="1"/>
    <w:link w:val="6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paragraph" w:styleId="24">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25">
    <w:name w:val="Title"/>
    <w:basedOn w:val="1"/>
    <w:next w:val="1"/>
    <w:link w:val="59"/>
    <w:qFormat/>
    <w:uiPriority w:val="0"/>
    <w:pPr>
      <w:spacing w:before="240" w:after="60"/>
      <w:jc w:val="center"/>
      <w:outlineLvl w:val="0"/>
    </w:pPr>
    <w:rPr>
      <w:rFonts w:ascii="Cambria" w:hAnsi="Cambria"/>
      <w:b/>
      <w:bCs/>
      <w:sz w:val="32"/>
      <w:szCs w:val="32"/>
    </w:rPr>
  </w:style>
  <w:style w:type="paragraph" w:styleId="26">
    <w:name w:val="annotation subject"/>
    <w:basedOn w:val="8"/>
    <w:next w:val="8"/>
    <w:link w:val="68"/>
    <w:uiPriority w:val="0"/>
    <w:rPr>
      <w:b/>
      <w:bCs/>
    </w:rPr>
  </w:style>
  <w:style w:type="character" w:styleId="29">
    <w:name w:val="Strong"/>
    <w:qFormat/>
    <w:uiPriority w:val="0"/>
    <w:rPr>
      <w:b/>
      <w:bCs/>
    </w:rPr>
  </w:style>
  <w:style w:type="character" w:styleId="30">
    <w:name w:val="page number"/>
    <w:basedOn w:val="28"/>
    <w:qFormat/>
    <w:uiPriority w:val="0"/>
  </w:style>
  <w:style w:type="character" w:styleId="31">
    <w:name w:val="Hyperlink"/>
    <w:qFormat/>
    <w:uiPriority w:val="99"/>
    <w:rPr>
      <w:color w:val="0000FF"/>
      <w:u w:val="single"/>
    </w:rPr>
  </w:style>
  <w:style w:type="character" w:styleId="32">
    <w:name w:val="annotation reference"/>
    <w:qFormat/>
    <w:uiPriority w:val="0"/>
    <w:rPr>
      <w:sz w:val="21"/>
      <w:szCs w:val="21"/>
    </w:rPr>
  </w:style>
  <w:style w:type="character" w:customStyle="1" w:styleId="33">
    <w:name w:val="页眉 Char"/>
    <w:basedOn w:val="28"/>
    <w:link w:val="17"/>
    <w:qFormat/>
    <w:uiPriority w:val="99"/>
    <w:rPr>
      <w:sz w:val="18"/>
      <w:szCs w:val="18"/>
    </w:rPr>
  </w:style>
  <w:style w:type="character" w:customStyle="1" w:styleId="34">
    <w:name w:val="页脚 Char"/>
    <w:basedOn w:val="28"/>
    <w:link w:val="16"/>
    <w:qFormat/>
    <w:uiPriority w:val="99"/>
    <w:rPr>
      <w:sz w:val="18"/>
      <w:szCs w:val="18"/>
    </w:rPr>
  </w:style>
  <w:style w:type="character" w:customStyle="1" w:styleId="35">
    <w:name w:val="标题 1 字符"/>
    <w:basedOn w:val="28"/>
    <w:qFormat/>
    <w:uiPriority w:val="9"/>
    <w:rPr>
      <w:rFonts w:ascii="Times New Roman" w:hAnsi="Times New Roman" w:eastAsia="宋体" w:cs="Times New Roman"/>
      <w:b/>
      <w:bCs/>
      <w:kern w:val="44"/>
      <w:sz w:val="44"/>
      <w:szCs w:val="44"/>
    </w:rPr>
  </w:style>
  <w:style w:type="character" w:customStyle="1" w:styleId="36">
    <w:name w:val="标题 2 字符"/>
    <w:basedOn w:val="28"/>
    <w:semiHidden/>
    <w:qFormat/>
    <w:uiPriority w:val="9"/>
    <w:rPr>
      <w:rFonts w:asciiTheme="majorHAnsi" w:hAnsiTheme="majorHAnsi" w:eastAsiaTheme="majorEastAsia" w:cstheme="majorBidi"/>
      <w:b/>
      <w:bCs/>
      <w:sz w:val="32"/>
      <w:szCs w:val="32"/>
    </w:rPr>
  </w:style>
  <w:style w:type="character" w:customStyle="1" w:styleId="37">
    <w:name w:val="标题 3 Char"/>
    <w:basedOn w:val="28"/>
    <w:link w:val="4"/>
    <w:qFormat/>
    <w:uiPriority w:val="0"/>
    <w:rPr>
      <w:rFonts w:ascii="Times New Roman" w:hAnsi="Times New Roman" w:eastAsia="宋体" w:cs="Times New Roman"/>
      <w:b/>
      <w:bCs/>
      <w:sz w:val="32"/>
      <w:szCs w:val="32"/>
    </w:rPr>
  </w:style>
  <w:style w:type="character" w:customStyle="1" w:styleId="38">
    <w:name w:val="日期 Char"/>
    <w:basedOn w:val="28"/>
    <w:link w:val="14"/>
    <w:qFormat/>
    <w:uiPriority w:val="99"/>
    <w:rPr>
      <w:rFonts w:ascii="Times New Roman" w:hAnsi="Times New Roman" w:eastAsia="宋体" w:cs="Times New Roman"/>
      <w:szCs w:val="24"/>
    </w:rPr>
  </w:style>
  <w:style w:type="character" w:customStyle="1" w:styleId="39">
    <w:name w:val="批注框文本 Char"/>
    <w:basedOn w:val="28"/>
    <w:link w:val="15"/>
    <w:qFormat/>
    <w:uiPriority w:val="0"/>
    <w:rPr>
      <w:rFonts w:ascii="Times New Roman" w:hAnsi="Times New Roman" w:eastAsia="宋体" w:cs="Times New Roman"/>
      <w:sz w:val="18"/>
      <w:szCs w:val="18"/>
    </w:rPr>
  </w:style>
  <w:style w:type="paragraph" w:customStyle="1" w:styleId="40">
    <w:name w:val="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1">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2">
    <w:name w:val="Char Char Char Char Char Char Char Char Char Char Char Char Char Char Char Char Char Char Char Char Char Char Char Char Char Char Char Char"/>
    <w:basedOn w:val="1"/>
    <w:qFormat/>
    <w:uiPriority w:val="0"/>
  </w:style>
  <w:style w:type="paragraph" w:customStyle="1" w:styleId="43">
    <w:name w:val="Char Char Char"/>
    <w:basedOn w:val="1"/>
    <w:qFormat/>
    <w:uiPriority w:val="0"/>
  </w:style>
  <w:style w:type="character" w:customStyle="1" w:styleId="44">
    <w:name w:val="标题 1 Char"/>
    <w:link w:val="2"/>
    <w:locked/>
    <w:uiPriority w:val="0"/>
    <w:rPr>
      <w:rFonts w:ascii="Times New Roman" w:hAnsi="Times New Roman" w:eastAsia="方正黑体" w:cs="Times New Roman"/>
      <w:bCs/>
      <w:kern w:val="0"/>
      <w:sz w:val="32"/>
      <w:szCs w:val="44"/>
    </w:rPr>
  </w:style>
  <w:style w:type="character" w:customStyle="1" w:styleId="45">
    <w:name w:val="页脚 字符2"/>
    <w:qFormat/>
    <w:locked/>
    <w:uiPriority w:val="0"/>
    <w:rPr>
      <w:rFonts w:eastAsia="宋体"/>
      <w:kern w:val="2"/>
      <w:sz w:val="18"/>
      <w:szCs w:val="18"/>
      <w:lang w:val="en-US" w:eastAsia="zh-CN" w:bidi="ar-SA"/>
    </w:rPr>
  </w:style>
  <w:style w:type="paragraph" w:customStyle="1" w:styleId="46">
    <w:name w:val="无间隔1"/>
    <w:basedOn w:val="1"/>
    <w:qFormat/>
    <w:uiPriority w:val="0"/>
    <w:pPr>
      <w:spacing w:line="600" w:lineRule="exact"/>
      <w:jc w:val="center"/>
    </w:pPr>
    <w:rPr>
      <w:rFonts w:eastAsia="方正小标宋_GBK"/>
      <w:sz w:val="44"/>
      <w:szCs w:val="22"/>
    </w:rPr>
  </w:style>
  <w:style w:type="character" w:customStyle="1" w:styleId="47">
    <w:name w:val="文档结构图 Char"/>
    <w:basedOn w:val="28"/>
    <w:link w:val="7"/>
    <w:qFormat/>
    <w:uiPriority w:val="0"/>
    <w:rPr>
      <w:rFonts w:ascii="Times New Roman" w:hAnsi="Times New Roman" w:eastAsia="宋体" w:cs="Times New Roman"/>
      <w:szCs w:val="24"/>
      <w:shd w:val="clear" w:color="auto" w:fill="000080"/>
    </w:rPr>
  </w:style>
  <w:style w:type="paragraph" w:styleId="48">
    <w:name w:val="List Paragraph"/>
    <w:basedOn w:val="1"/>
    <w:qFormat/>
    <w:uiPriority w:val="34"/>
    <w:pPr>
      <w:ind w:firstLine="420" w:firstLineChars="200"/>
    </w:pPr>
    <w:rPr>
      <w:rFonts w:ascii="Calibri" w:hAnsi="Calibri"/>
      <w:szCs w:val="22"/>
    </w:rPr>
  </w:style>
  <w:style w:type="character" w:customStyle="1" w:styleId="49">
    <w:name w:val="apple-converted-space"/>
    <w:uiPriority w:val="0"/>
  </w:style>
  <w:style w:type="character" w:customStyle="1" w:styleId="50">
    <w:name w:val="style6"/>
    <w:uiPriority w:val="0"/>
  </w:style>
  <w:style w:type="character" w:customStyle="1" w:styleId="51">
    <w:name w:val="正文文本缩进 Char"/>
    <w:basedOn w:val="28"/>
    <w:link w:val="9"/>
    <w:uiPriority w:val="0"/>
    <w:rPr>
      <w:rFonts w:ascii="宋体" w:hAnsi="宋体" w:eastAsia="宋体" w:cs="Times New Roman"/>
      <w:sz w:val="24"/>
      <w:szCs w:val="24"/>
    </w:rPr>
  </w:style>
  <w:style w:type="character" w:customStyle="1" w:styleId="52">
    <w:name w:val="页眉 字符1"/>
    <w:uiPriority w:val="99"/>
    <w:rPr>
      <w:kern w:val="2"/>
      <w:sz w:val="18"/>
      <w:szCs w:val="18"/>
    </w:rPr>
  </w:style>
  <w:style w:type="character" w:customStyle="1" w:styleId="53">
    <w:name w:val="页脚 字符1"/>
    <w:uiPriority w:val="99"/>
    <w:rPr>
      <w:kern w:val="2"/>
      <w:sz w:val="18"/>
      <w:szCs w:val="18"/>
    </w:rPr>
  </w:style>
  <w:style w:type="character" w:customStyle="1" w:styleId="54">
    <w:name w:val="标题 1 字符2"/>
    <w:uiPriority w:val="0"/>
    <w:rPr>
      <w:rFonts w:ascii="Times New Roman" w:hAnsi="Times New Roman" w:eastAsia="宋体" w:cs="Times New Roman"/>
      <w:b/>
      <w:bCs/>
      <w:kern w:val="44"/>
      <w:sz w:val="32"/>
      <w:szCs w:val="32"/>
    </w:rPr>
  </w:style>
  <w:style w:type="character" w:customStyle="1" w:styleId="55">
    <w:name w:val="标题 2 Char"/>
    <w:link w:val="3"/>
    <w:uiPriority w:val="0"/>
    <w:rPr>
      <w:rFonts w:ascii="Cambria" w:hAnsi="Cambria" w:eastAsia="宋体" w:cs="Times New Roman"/>
      <w:b/>
      <w:bCs/>
      <w:sz w:val="32"/>
      <w:szCs w:val="32"/>
    </w:rPr>
  </w:style>
  <w:style w:type="character" w:customStyle="1" w:styleId="56">
    <w:name w:val="页眉 Char Char"/>
    <w:uiPriority w:val="0"/>
    <w:rPr>
      <w:kern w:val="2"/>
      <w:sz w:val="18"/>
      <w:szCs w:val="18"/>
    </w:rPr>
  </w:style>
  <w:style w:type="character" w:customStyle="1" w:styleId="57">
    <w:name w:val="标题 2 Char Char"/>
    <w:uiPriority w:val="0"/>
    <w:rPr>
      <w:rFonts w:ascii="Arial" w:hAnsi="Arial" w:eastAsia="黑体"/>
      <w:b/>
      <w:bCs/>
      <w:kern w:val="2"/>
      <w:sz w:val="32"/>
      <w:szCs w:val="32"/>
    </w:rPr>
  </w:style>
  <w:style w:type="character" w:customStyle="1" w:styleId="58">
    <w:name w:val="正文缩进 Char"/>
    <w:link w:val="6"/>
    <w:uiPriority w:val="0"/>
    <w:rPr>
      <w:sz w:val="24"/>
    </w:rPr>
  </w:style>
  <w:style w:type="character" w:customStyle="1" w:styleId="59">
    <w:name w:val="标题 Char"/>
    <w:basedOn w:val="28"/>
    <w:link w:val="25"/>
    <w:uiPriority w:val="0"/>
    <w:rPr>
      <w:rFonts w:ascii="Cambria" w:hAnsi="Cambria" w:eastAsia="宋体" w:cs="Times New Roman"/>
      <w:b/>
      <w:bCs/>
      <w:sz w:val="32"/>
      <w:szCs w:val="32"/>
    </w:rPr>
  </w:style>
  <w:style w:type="character" w:customStyle="1" w:styleId="60">
    <w:name w:val="HTML 预设格式 Char"/>
    <w:basedOn w:val="28"/>
    <w:link w:val="23"/>
    <w:uiPriority w:val="0"/>
    <w:rPr>
      <w:rFonts w:ascii="宋体" w:hAnsi="宋体" w:eastAsia="宋体" w:cs="Times New Roman"/>
      <w:sz w:val="24"/>
      <w:szCs w:val="24"/>
    </w:rPr>
  </w:style>
  <w:style w:type="paragraph" w:customStyle="1" w:styleId="61">
    <w:name w:val="Char"/>
    <w:basedOn w:val="1"/>
    <w:uiPriority w:val="0"/>
    <w:pPr>
      <w:widowControl/>
      <w:tabs>
        <w:tab w:val="left" w:pos="360"/>
      </w:tabs>
      <w:spacing w:before="100" w:beforeAutospacing="1" w:after="100" w:afterAutospacing="1"/>
      <w:ind w:left="360" w:hanging="360"/>
    </w:pPr>
    <w:rPr>
      <w:rFonts w:ascii="Tahoma" w:hAnsi="Tahoma" w:eastAsia="仿宋_GB2312"/>
      <w:bCs/>
      <w:kern w:val="4"/>
      <w:sz w:val="24"/>
      <w:szCs w:val="20"/>
    </w:rPr>
  </w:style>
  <w:style w:type="paragraph" w:customStyle="1" w:styleId="62">
    <w:name w:val="TOC 标题1"/>
    <w:basedOn w:val="2"/>
    <w:next w:val="1"/>
    <w:unhideWhenUsed/>
    <w:qFormat/>
    <w:uiPriority w:val="39"/>
    <w:pPr>
      <w:widowControl/>
      <w:spacing w:before="480" w:line="276" w:lineRule="auto"/>
      <w:ind w:left="420" w:hanging="420" w:firstLineChars="0"/>
      <w:outlineLvl w:val="9"/>
    </w:pPr>
    <w:rPr>
      <w:rFonts w:ascii="Cambria" w:hAnsi="Cambria" w:eastAsia="宋体"/>
      <w:b/>
      <w:color w:val="365F91"/>
      <w:sz w:val="28"/>
      <w:szCs w:val="28"/>
    </w:rPr>
  </w:style>
  <w:style w:type="character" w:customStyle="1" w:styleId="63">
    <w:name w:val="正文文本缩进 Char1"/>
    <w:semiHidden/>
    <w:locked/>
    <w:uiPriority w:val="0"/>
    <w:rPr>
      <w:rFonts w:ascii="Times New Roman" w:hAnsi="Times New Roman" w:eastAsia="宋体" w:cs="Times New Roman"/>
      <w:sz w:val="24"/>
      <w:szCs w:val="24"/>
    </w:rPr>
  </w:style>
  <w:style w:type="character" w:customStyle="1" w:styleId="64">
    <w:name w:val="页脚 Char1"/>
    <w:semiHidden/>
    <w:locked/>
    <w:uiPriority w:val="0"/>
    <w:rPr>
      <w:rFonts w:ascii="Times New Roman" w:hAnsi="Times New Roman" w:eastAsia="宋体" w:cs="Times New Roman"/>
      <w:sz w:val="18"/>
      <w:szCs w:val="18"/>
    </w:rPr>
  </w:style>
  <w:style w:type="character" w:customStyle="1" w:styleId="65">
    <w:name w:val="批注框文本 Char1"/>
    <w:semiHidden/>
    <w:locked/>
    <w:uiPriority w:val="0"/>
    <w:rPr>
      <w:rFonts w:ascii="Times New Roman" w:hAnsi="Times New Roman" w:eastAsia="宋体" w:cs="Times New Roman"/>
      <w:sz w:val="18"/>
      <w:szCs w:val="18"/>
    </w:rPr>
  </w:style>
  <w:style w:type="paragraph" w:customStyle="1" w:styleId="66">
    <w:name w:val="列出段落1"/>
    <w:basedOn w:val="1"/>
    <w:qFormat/>
    <w:uiPriority w:val="34"/>
    <w:pPr>
      <w:ind w:firstLine="420" w:firstLineChars="200"/>
    </w:pPr>
    <w:rPr>
      <w:rFonts w:ascii="Calibri" w:hAnsi="Calibri" w:cs="Calibri"/>
      <w:szCs w:val="21"/>
    </w:rPr>
  </w:style>
  <w:style w:type="character" w:customStyle="1" w:styleId="67">
    <w:name w:val="批注文字 Char"/>
    <w:basedOn w:val="28"/>
    <w:link w:val="8"/>
    <w:uiPriority w:val="0"/>
    <w:rPr>
      <w:rFonts w:ascii="Times New Roman" w:hAnsi="Times New Roman" w:eastAsia="宋体" w:cs="Times New Roman"/>
      <w:szCs w:val="24"/>
    </w:rPr>
  </w:style>
  <w:style w:type="character" w:customStyle="1" w:styleId="68">
    <w:name w:val="批注主题 Char"/>
    <w:basedOn w:val="67"/>
    <w:link w:val="26"/>
    <w:uiPriority w:val="0"/>
    <w:rPr>
      <w:rFonts w:ascii="Times New Roman" w:hAnsi="Times New Roman" w:eastAsia="宋体" w:cs="Times New Roman"/>
      <w:b/>
      <w:bCs/>
      <w:szCs w:val="24"/>
    </w:rPr>
  </w:style>
  <w:style w:type="paragraph" w:customStyle="1" w:styleId="69">
    <w:name w:val="列出段落2"/>
    <w:basedOn w:val="1"/>
    <w:uiPriority w:val="0"/>
    <w:pPr>
      <w:ind w:firstLine="420" w:firstLineChars="200"/>
    </w:pPr>
    <w:rPr>
      <w:rFonts w:ascii="Calibri" w:hAnsi="Calibri" w:cs="Calibri"/>
      <w:szCs w:val="21"/>
    </w:rPr>
  </w:style>
  <w:style w:type="paragraph" w:customStyle="1" w:styleId="70">
    <w:name w:val="Normal DS"/>
    <w:basedOn w:val="1"/>
    <w:link w:val="71"/>
    <w:uiPriority w:val="0"/>
    <w:pPr>
      <w:widowControl/>
      <w:spacing w:after="260"/>
      <w:jc w:val="left"/>
    </w:pPr>
    <w:rPr>
      <w:rFonts w:ascii="Times" w:hAnsi="Times"/>
      <w:kern w:val="0"/>
      <w:sz w:val="23"/>
      <w:szCs w:val="20"/>
      <w:lang w:val="en-GB"/>
    </w:rPr>
  </w:style>
  <w:style w:type="character" w:customStyle="1" w:styleId="71">
    <w:name w:val="Normal DS Char"/>
    <w:link w:val="70"/>
    <w:uiPriority w:val="0"/>
    <w:rPr>
      <w:rFonts w:ascii="Times" w:hAnsi="Times" w:eastAsia="宋体" w:cs="Times New Roman"/>
      <w:kern w:val="0"/>
      <w:sz w:val="23"/>
      <w:szCs w:val="20"/>
      <w:lang w:val="en-GB"/>
    </w:rPr>
  </w:style>
  <w:style w:type="character" w:customStyle="1" w:styleId="72">
    <w:name w:val="纯文本 Char"/>
    <w:basedOn w:val="28"/>
    <w:link w:val="12"/>
    <w:uiPriority w:val="99"/>
    <w:rPr>
      <w:rFonts w:ascii="宋体" w:hAnsi="Courier New" w:eastAsia="宋体" w:cs="Times New Roman"/>
      <w:kern w:val="0"/>
      <w:szCs w:val="21"/>
    </w:rPr>
  </w:style>
  <w:style w:type="character" w:customStyle="1" w:styleId="73">
    <w:name w:val="标题 1 字符1"/>
    <w:uiPriority w:val="0"/>
    <w:rPr>
      <w:rFonts w:ascii="Times New Roman" w:hAnsi="Times New Roman" w:eastAsia="宋体" w:cs="Times New Roman"/>
      <w:b/>
      <w:bCs/>
      <w:kern w:val="44"/>
      <w:sz w:val="44"/>
      <w:szCs w:val="44"/>
    </w:rPr>
  </w:style>
  <w:style w:type="character" w:customStyle="1" w:styleId="74">
    <w:name w:val="标题 2 字符1"/>
    <w:uiPriority w:val="0"/>
    <w:rPr>
      <w:rFonts w:ascii="Cambria" w:hAnsi="Cambria" w:eastAsia="宋体" w:cs="Times New Roman"/>
      <w:b/>
      <w:bCs/>
      <w:sz w:val="32"/>
      <w:szCs w:val="32"/>
    </w:rPr>
  </w:style>
  <w:style w:type="paragraph" w:customStyle="1" w:styleId="75">
    <w:name w:val="题目"/>
    <w:basedOn w:val="1"/>
    <w:link w:val="76"/>
    <w:qFormat/>
    <w:uiPriority w:val="0"/>
    <w:pPr>
      <w:widowControl/>
      <w:spacing w:line="620" w:lineRule="exact"/>
      <w:ind w:firstLine="643" w:firstLineChars="200"/>
      <w:jc w:val="left"/>
    </w:pPr>
    <w:rPr>
      <w:rFonts w:eastAsia="方正仿宋_GBK"/>
      <w:b/>
      <w:sz w:val="32"/>
      <w:szCs w:val="32"/>
    </w:rPr>
  </w:style>
  <w:style w:type="character" w:customStyle="1" w:styleId="76">
    <w:name w:val="题目 Char"/>
    <w:basedOn w:val="28"/>
    <w:link w:val="75"/>
    <w:uiPriority w:val="0"/>
    <w:rPr>
      <w:rFonts w:ascii="Times New Roman" w:hAnsi="Times New Roman" w:eastAsia="方正仿宋_GBK" w:cs="Times New Roman"/>
      <w:b/>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5CA08-6061-44A8-9AD4-9064AA175F0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620</Words>
  <Characters>3534</Characters>
  <Lines>29</Lines>
  <Paragraphs>8</Paragraphs>
  <TotalTime>30</TotalTime>
  <ScaleCrop>false</ScaleCrop>
  <LinksUpToDate>false</LinksUpToDate>
  <CharactersWithSpaces>4146</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2019-10-25T12:24:00Z</dcterms:created>
  <dc:creator>0.0</dc:creator>
  <cp:lastModifiedBy>Administrator</cp:lastModifiedBy>
  <cp:lastPrinted>2019-10-24T02:34:00Z</cp:lastPrinted>
  <dcterms:modified xsi:type="dcterms:W3CDTF">2019-10-31T07:31:01Z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